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湘江新区2023年度养老服务专项资金明细表</w:t>
      </w:r>
    </w:p>
    <w:p>
      <w:pPr>
        <w:spacing w:line="600" w:lineRule="exact"/>
        <w:jc w:val="right"/>
        <w:rPr>
          <w:rFonts w:hint="eastAsia" w:ascii="楷体_GB2312" w:hAnsi="宋体" w:eastAsia="楷体_GB2312" w:cs="宋体"/>
          <w:sz w:val="32"/>
          <w:szCs w:val="24"/>
        </w:rPr>
      </w:pPr>
      <w:r>
        <w:rPr>
          <w:rFonts w:hint="eastAsia" w:ascii="楷体_GB2312" w:hAnsi="宋体" w:eastAsia="楷体_GB2312" w:cs="宋体"/>
          <w:sz w:val="32"/>
          <w:szCs w:val="24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359"/>
        <w:gridCol w:w="1721"/>
        <w:gridCol w:w="196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市级资金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区级资金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社区居家养老服务站建设补助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社区居家养老服务站运营补助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547.05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547.05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1094.1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社区居家养老服务站社会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力量运营补助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394.63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394.63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789.26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社区居家养老服务站场地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责任险补助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23.24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居家养老政府购买服务补助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58.28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116.56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农村居家养老服务站运营补助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养老机构运营补助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119.33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178.99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养老机构责任险补助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8.5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养老护理员岗位补助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9.8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14.72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核酸（抗原）检测费用补贴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5.96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5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1412.79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1497.95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2910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.74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                   </w:t>
      </w:r>
    </w:p>
    <w:p/>
    <w:sectPr>
      <w:footerReference r:id="rId3" w:type="default"/>
      <w:footerReference r:id="rId4" w:type="even"/>
      <w:pgSz w:w="11906" w:h="16838"/>
      <w:pgMar w:top="1701" w:right="1304" w:bottom="1701" w:left="1588" w:header="851" w:footer="124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OTNiMzljMmI0ZTY1MDBkOTU1ZmY4ODJmMGZhNWYifQ=="/>
  </w:docVars>
  <w:rsids>
    <w:rsidRoot w:val="116151AD"/>
    <w:rsid w:val="116151AD"/>
    <w:rsid w:val="336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326</Characters>
  <Lines>0</Lines>
  <Paragraphs>0</Paragraphs>
  <TotalTime>1</TotalTime>
  <ScaleCrop>false</ScaleCrop>
  <LinksUpToDate>false</LinksUpToDate>
  <CharactersWithSpaces>352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2023-10-31T03:22:00Z</dcterms:created>
  <dc:creator>胡娟</dc:creator>
  <cp:lastModifiedBy>胡娟</cp:lastModifiedBy>
  <dcterms:modified xsi:type="dcterms:W3CDTF">2023-10-31T07:50:28Z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28A3BE213C64460F9A85A21ECF8536A0</vt:lpwstr>
  </property>
</Properties>
</file>