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宋体" w:hAnsi="宋体" w:eastAsia="黑体" w:cs="黑体"/>
          <w:color w:val="000000"/>
          <w:sz w:val="28"/>
          <w:szCs w:val="28"/>
        </w:rPr>
      </w:pPr>
      <w:r>
        <w:rPr>
          <w:rFonts w:hint="eastAsia" w:ascii="宋体" w:hAnsi="宋体" w:eastAsia="黑体" w:cs="黑体"/>
          <w:color w:val="000000"/>
          <w:sz w:val="28"/>
          <w:szCs w:val="28"/>
        </w:rPr>
        <w:t>附件2</w:t>
      </w:r>
    </w:p>
    <w:p>
      <w:pPr>
        <w:overflowPunct w:val="0"/>
        <w:spacing w:after="120" w:afterLines="50" w:line="600" w:lineRule="exact"/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2019年岳麓区重点民生实事项目完成情况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051"/>
        <w:gridCol w:w="1220"/>
        <w:gridCol w:w="978"/>
        <w:gridCol w:w="2014"/>
        <w:gridCol w:w="1094"/>
        <w:gridCol w:w="7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3051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  <w:t>计量</w:t>
            </w:r>
          </w:p>
          <w:p>
            <w:pPr>
              <w:overflowPunct w:val="0"/>
              <w:jc w:val="center"/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  <w:t>工作</w:t>
            </w:r>
          </w:p>
          <w:p>
            <w:pPr>
              <w:overflowPunct w:val="0"/>
              <w:jc w:val="center"/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201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  <w:t>累计完成工作量</w:t>
            </w:r>
          </w:p>
        </w:tc>
        <w:tc>
          <w:tcPr>
            <w:tcW w:w="10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  <w:t>完成工作进度（%）</w:t>
            </w:r>
          </w:p>
        </w:tc>
        <w:tc>
          <w:tcPr>
            <w:tcW w:w="7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新增城镇就业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7300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8372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114.7%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新增农村通自来水人口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7700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7700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减少义务教育大班额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农村及城镇低保适龄妇女“两癌”免费检查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2060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2089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101.4%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孕产妇免费产前筛查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4750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11318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238.3%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提高困难残疾人生活补贴和重度残疾人护理补贴发放标准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元/人/月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不低于120元/人/月和80元/人/月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困难残疾人生活补贴每人每月120元；重度残疾人护理补贴每人每月80元。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提高农村低保标准和救助水平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元/年和</w:t>
            </w:r>
          </w:p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元/月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不低于6600元/年和245元/月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已完成，6600元/年和254元/月。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改（新）建农村户用厕所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6067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433.4%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推行“一村一辅警”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新改扩建公办幼儿园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全面启动区县（市）社会福利中心建设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已启动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社区居家养老服务中心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敬老院照料护理区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新改建农村公路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建设小微水体管护示范片区（全市行政村、社区小微水体管护全覆盖）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免费实施新生儿多种遗传代谢疾病筛查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5900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13261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224.7%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对全市0-6岁儿童眼睛及视力筛查保健，建立健康电子档案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3.4万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46487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136.7%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对全市6-18岁青少年眼睛及视力筛查保健，建立健康电子档案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10.5万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134759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128.3%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建设标准化村（社区）综合文化中心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完成城镇棚户区改造和老城区有机更新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1700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新建全民健身工程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新建智慧健身驿站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新增公园（不包含体育公园）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提质改造小餐饮“透明厨房”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600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600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sz w:val="27"/>
          <w:szCs w:val="27"/>
          <w:shd w:val="clear" w:color="070000" w:fill="FFFFFF"/>
        </w:rPr>
      </w:pPr>
    </w:p>
    <w:p>
      <w:pPr>
        <w:overflowPunct w:val="0"/>
        <w:spacing w:line="6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eastAsia="楷体_GB2312" w:cs="楷体_GB2312"/>
          <w:color w:val="000000"/>
          <w:sz w:val="28"/>
          <w:szCs w:val="28"/>
        </w:rPr>
        <w:t>备注：部分工作完成量未纳入2019年年度民生实事统计范围。</w:t>
      </w:r>
    </w:p>
    <w:p>
      <w:pPr>
        <w:spacing w:line="580" w:lineRule="exact"/>
        <w:rPr>
          <w:rFonts w:hint="eastAsia" w:ascii="宋体" w:hAnsi="宋体" w:eastAsia="仿宋_GB2312" w:cs="仿宋_GB2312"/>
          <w:color w:val="000000"/>
          <w:sz w:val="32"/>
          <w:szCs w:val="32"/>
        </w:rPr>
      </w:pPr>
    </w:p>
    <w:p>
      <w:pPr>
        <w:overflowPunct w:val="0"/>
        <w:spacing w:line="600" w:lineRule="exact"/>
        <w:rPr>
          <w:rFonts w:hint="eastAsia" w:ascii="宋体" w:hAnsi="宋体" w:eastAsia="仿宋_GB2312" w:cs="仿宋_GB2312"/>
          <w:color w:val="000000"/>
          <w:sz w:val="32"/>
          <w:szCs w:val="32"/>
        </w:rPr>
      </w:pPr>
    </w:p>
    <w:p/>
    <w:p/>
    <w:p/>
    <w:sectPr>
      <w:headerReference r:id="rId3" w:type="default"/>
      <w:footerReference r:id="rId4" w:type="default"/>
      <w:pgSz w:w="11906" w:h="16838"/>
      <w:pgMar w:top="1701" w:right="1304" w:bottom="1701" w:left="15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NJr0dABAACGAwAADgAAAGRycy9lMm9Eb2MueG1srVNLbtswEN0XyB0I&#10;7mPJXhSGYDlIG7go0B+Q5gAURVkERA4xpC25B2hv0FU33fdcPkeHlOR+sguyIYYzw6d5b542N4Pp&#10;2FGh12BLvlzknCkrodZ2X/KHz7vrNWc+CFuLDqwq+Ul5frO9erHpXaFW0EJXK2QEYn3Ru5K3Ibgi&#10;y7xslRF+AU5ZKjaARgS64j6rUfSEbrpslecvsx6wdghSeU/Zu7HItwm/aZQMH5vGq8C6ktNsIZ2Y&#10;ziqe2XYjij0K12o5jSGeMIUR2tJHL1B3Igh2QP0IymiJ4KEJCwkmg6bRUiUOxGaZ/8fmvhVOJS4k&#10;jncXmfzzwcoPx0/IdE2748wKQys6f/92/vHr/PMrW0V5eucL6rp31BeGVzDE1invY7Lq30NN78Qh&#10;QNJgaNBELYgdo26S/XSRWg2ByQixXq3XOZUk1eYLoWaimJ879OGNAsNiUHKkXSZ4cXznw9g6t8Sv&#10;WdjprqO8KDr7T4IwYyaLTOLEI6cwVMNEo4L6REQQRnuQnSloAb9w1pM1Sm7Ju5x1by0pH100BzgH&#10;1RwIK+lhyQNnY/g6jG47ONT7lnCXiYR3tyTXTicicbBxhmlKWnaSYjJmdNPf99T15/fZ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qNJr0dABAACG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1546C"/>
    <w:rsid w:val="37B1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2020-01-14T06:19:00Z</dcterms:created>
  <dc:creator>安然</dc:creator>
  <cp:lastModifiedBy>安然</cp:lastModifiedBy>
  <dcterms:modified xsi:type="dcterms:W3CDTF">2020-01-14T06:20:30Z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