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岳麓区20</w:t>
      </w:r>
      <w:r>
        <w:rPr>
          <w:rFonts w:hint="eastAsia" w:ascii="宋体" w:hAnsi="宋体" w:eastAsia="方正小标宋简体"/>
          <w:sz w:val="32"/>
          <w:szCs w:val="32"/>
          <w:u w:val="single"/>
        </w:rPr>
        <w:t xml:space="preserve"> 二0 </w:t>
      </w:r>
      <w:r>
        <w:rPr>
          <w:rFonts w:hint="eastAsia" w:ascii="宋体" w:hAnsi="宋体" w:eastAsia="方正小标宋简体"/>
          <w:sz w:val="32"/>
          <w:szCs w:val="32"/>
        </w:rPr>
        <w:t>年度部门（单位）整体支出</w:t>
      </w:r>
    </w:p>
    <w:p>
      <w:pPr>
        <w:spacing w:line="800" w:lineRule="exact"/>
        <w:jc w:val="center"/>
        <w:rPr>
          <w:rFonts w:hint="eastAsia"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绩效评价自评报告</w:t>
      </w:r>
    </w:p>
    <w:p>
      <w:pPr>
        <w:rPr>
          <w:rFonts w:hint="eastAsia" w:ascii="宋体" w:hAnsi="宋体" w:eastAsia="仿宋_GB2312"/>
          <w:sz w:val="32"/>
          <w:szCs w:val="32"/>
        </w:rPr>
      </w:pPr>
    </w:p>
    <w:p>
      <w:pPr>
        <w:rPr>
          <w:rFonts w:hint="eastAsia" w:ascii="宋体" w:hAnsi="宋体" w:eastAsia="仿宋_GB2312"/>
          <w:sz w:val="32"/>
          <w:szCs w:val="32"/>
        </w:rPr>
      </w:pPr>
    </w:p>
    <w:p>
      <w:pPr>
        <w:rPr>
          <w:rFonts w:hint="eastAsia" w:ascii="宋体" w:hAnsi="宋体" w:eastAsia="仿宋_GB2312"/>
          <w:sz w:val="32"/>
          <w:szCs w:val="32"/>
        </w:rPr>
      </w:pP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部门(单位)名称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银盆岭街道办事处                         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预算编码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评价方式：部门（单位）绩效自评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评价机构：部门（单位）评价组   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单位负责人（签章）：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报告填报人（签章）：</w:t>
      </w: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  <w:szCs w:val="32"/>
        </w:rPr>
      </w:pP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     部门名称（加盖公章）</w:t>
      </w: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  <w:szCs w:val="32"/>
        </w:rPr>
      </w:pP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报告日期：2021年1月 28日</w:t>
      </w:r>
    </w:p>
    <w:p>
      <w:pPr>
        <w:autoSpaceDN w:val="0"/>
        <w:textAlignment w:val="center"/>
        <w:rPr>
          <w:rFonts w:hint="eastAsia" w:ascii="宋体" w:hAnsi="宋体" w:eastAsia="仿宋_GB2312"/>
          <w:sz w:val="15"/>
          <w:szCs w:val="15"/>
        </w:rPr>
      </w:pPr>
    </w:p>
    <w:p>
      <w:pPr>
        <w:autoSpaceDN w:val="0"/>
        <w:textAlignment w:val="center"/>
        <w:rPr>
          <w:rFonts w:hint="eastAsia" w:ascii="宋体" w:hAnsi="宋体" w:eastAsia="仿宋_GB2312"/>
          <w:sz w:val="15"/>
          <w:szCs w:val="15"/>
        </w:rPr>
      </w:pPr>
    </w:p>
    <w:p>
      <w:pPr>
        <w:autoSpaceDN w:val="0"/>
        <w:textAlignment w:val="center"/>
        <w:rPr>
          <w:rFonts w:hint="eastAsia" w:ascii="宋体" w:hAnsi="宋体" w:eastAsia="仿宋_GB2312"/>
          <w:sz w:val="15"/>
          <w:szCs w:val="15"/>
        </w:rPr>
      </w:pPr>
    </w:p>
    <w:p>
      <w:pPr>
        <w:autoSpaceDN w:val="0"/>
        <w:textAlignment w:val="center"/>
        <w:rPr>
          <w:rFonts w:hint="eastAsia" w:ascii="宋体" w:hAnsi="宋体" w:eastAsia="仿宋_GB2312"/>
          <w:sz w:val="15"/>
          <w:szCs w:val="15"/>
        </w:rPr>
      </w:pPr>
    </w:p>
    <w:p>
      <w:pPr>
        <w:autoSpaceDN w:val="0"/>
        <w:textAlignment w:val="center"/>
        <w:rPr>
          <w:rFonts w:hint="eastAsia" w:ascii="宋体" w:hAnsi="宋体" w:eastAsia="仿宋_GB2312"/>
          <w:sz w:val="15"/>
          <w:szCs w:val="15"/>
        </w:rPr>
      </w:pPr>
    </w:p>
    <w:p>
      <w:pPr>
        <w:autoSpaceDN w:val="0"/>
        <w:textAlignment w:val="center"/>
        <w:rPr>
          <w:rFonts w:hint="eastAsia" w:ascii="宋体" w:hAnsi="宋体" w:eastAsia="仿宋_GB2312"/>
          <w:sz w:val="15"/>
          <w:szCs w:val="15"/>
        </w:rPr>
      </w:pPr>
    </w:p>
    <w:p>
      <w:pPr>
        <w:autoSpaceDN w:val="0"/>
        <w:textAlignment w:val="center"/>
        <w:rPr>
          <w:rFonts w:hint="eastAsia" w:ascii="宋体" w:hAnsi="宋体" w:eastAsia="仿宋_GB2312"/>
          <w:sz w:val="15"/>
          <w:szCs w:val="15"/>
        </w:rPr>
      </w:pPr>
    </w:p>
    <w:p>
      <w:pPr>
        <w:autoSpaceDN w:val="0"/>
        <w:textAlignment w:val="center"/>
        <w:rPr>
          <w:rFonts w:hint="eastAsia" w:ascii="宋体" w:hAnsi="宋体" w:eastAsia="仿宋_GB2312"/>
          <w:sz w:val="15"/>
          <w:szCs w:val="15"/>
        </w:rPr>
      </w:pPr>
    </w:p>
    <w:p>
      <w:pPr>
        <w:autoSpaceDN w:val="0"/>
        <w:jc w:val="center"/>
        <w:textAlignment w:val="center"/>
        <w:rPr>
          <w:rFonts w:hint="eastAsia" w:ascii="宋体" w:hAnsi="宋体" w:eastAsia="方正小标宋简体"/>
          <w:b/>
          <w:sz w:val="28"/>
          <w:szCs w:val="28"/>
        </w:rPr>
      </w:pPr>
    </w:p>
    <w:p>
      <w:pPr>
        <w:autoSpaceDN w:val="0"/>
        <w:jc w:val="center"/>
        <w:textAlignment w:val="center"/>
        <w:rPr>
          <w:rFonts w:hint="eastAsia" w:ascii="宋体" w:hAnsi="宋体" w:eastAsia="方正小标宋简体"/>
          <w:b/>
          <w:sz w:val="28"/>
          <w:szCs w:val="28"/>
        </w:rPr>
      </w:pPr>
    </w:p>
    <w:p>
      <w:pPr>
        <w:spacing w:line="400" w:lineRule="exact"/>
        <w:ind w:left="560"/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2020年度整体绩效评价报告综述</w:t>
      </w:r>
    </w:p>
    <w:p>
      <w:pPr>
        <w:spacing w:line="400" w:lineRule="exact"/>
        <w:ind w:left="5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部门（单位）概况</w:t>
      </w:r>
    </w:p>
    <w:p>
      <w:pPr>
        <w:spacing w:line="360" w:lineRule="auto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（一）街道总人数397人。在职工作人员80人，退休干部32人，临聘人员285人（其中街道临时工30人、城管协管员37人、巡防队员51人、流动人口协管员40人、两保站8人、员额管理人员119人）。</w:t>
      </w:r>
    </w:p>
    <w:p>
      <w:pPr>
        <w:spacing w:line="360" w:lineRule="auto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（二）分党政综合一办、党政综合二办、党建办、公共服务一办、公共服务二办、公共安全一办、公共安全一办、城市管理一办、城市管理二办、城市管理三办、财政所、退役服务办。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（三）2020年完成区级财税收入2.28亿、基础税收1.1亿，完成固定资产投资40亿，社会消费品零售总额增长10%。</w:t>
      </w:r>
    </w:p>
    <w:p>
      <w:pPr>
        <w:spacing w:line="360" w:lineRule="auto"/>
        <w:ind w:firstLine="56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二、部门（单位）整体支出管理及使用情况</w:t>
      </w:r>
    </w:p>
    <w:p>
      <w:pPr>
        <w:pStyle w:val="3"/>
        <w:spacing w:before="0" w:beforeAutospacing="0" w:after="0" w:afterAutospacing="0" w:line="390" w:lineRule="atLeast"/>
        <w:ind w:firstLine="57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（一）全年财政总收入10019.66万元。其中：体制收入3500万元，专项收入1491万元，非税收入返还344万元，上级部门拨款4684.66万元。</w:t>
      </w:r>
    </w:p>
    <w:p>
      <w:pPr>
        <w:pStyle w:val="3"/>
        <w:spacing w:before="0" w:beforeAutospacing="0" w:after="0" w:afterAutospacing="0" w:line="390" w:lineRule="atLeast"/>
        <w:ind w:firstLine="57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二）全年财政总支出8666万元。其中：工资福利支出2806万元，商品和服务支出1417万元，对个人和家庭补助支出512万元，专项支出3931万元。其中“三公经费”支出2.51万元，公务接待支出0万元，因公出国（境）支出0万元，公务车购置及运行支出2.51万元， 。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三、部门（单位）专项组织实施情况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《长沙市岳麓区人民政府办公室关于实施2020年财政支出绩效评价工作的通知》，我单位从项目立项、绩效目标、资金管理、财务信息质量以及项目经济社会效益等方面进行了绩效评价。按照工作内容、工作措施、工作时限和要达到的预期效果，进一步分解细化工作任务，使绩效评价指标与各部门工作任务紧合起来，推动各项工作落实。</w:t>
      </w:r>
    </w:p>
    <w:p>
      <w:pPr>
        <w:spacing w:line="58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四、主要工作情况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2020年我</w:t>
      </w:r>
      <w:r>
        <w:rPr>
          <w:rFonts w:hint="eastAsia" w:ascii="仿宋_GB2312" w:eastAsia="仿宋_GB2312"/>
          <w:sz w:val="32"/>
          <w:szCs w:val="32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贯彻“四个三”高质量发展理念，</w:t>
      </w:r>
      <w:r>
        <w:rPr>
          <w:rFonts w:hint="eastAsia" w:ascii="仿宋_GB2312" w:eastAsia="仿宋_GB2312"/>
          <w:sz w:val="32"/>
          <w:szCs w:val="32"/>
        </w:rPr>
        <w:t>紧扣打造“大河西高端服务业中心”目标，扎实开展各项工作，坚实推动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有实力、有品质、有温度的“幸福银盆”建设</w:t>
      </w:r>
      <w:r>
        <w:rPr>
          <w:rFonts w:hint="eastAsia" w:ascii="仿宋_GB2312" w:eastAsia="仿宋_GB2312"/>
          <w:sz w:val="32"/>
          <w:szCs w:val="32"/>
        </w:rPr>
        <w:t>。完成全口径税收约9.5亿，较16年增长8.45%；地方级税收约4.31亿，较16年增长5.43%；基础性税收约1.35亿元，较16年增长6.88%；预计完成固投16亿元、社零4.86亿元。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（一）经济发展转型跨越。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坚持打造大河西高端服务业中心，以楼宇经济为重点，以管理服务为抓手，五年来产业发展转型升级。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一是楼宇经济蓬勃发展。</w:t>
      </w:r>
      <w:r>
        <w:rPr>
          <w:rFonts w:hint="eastAsia" w:ascii="仿宋_GB2312" w:eastAsia="仿宋_GB2312"/>
          <w:sz w:val="32"/>
          <w:szCs w:val="32"/>
        </w:rPr>
        <w:t>积极盘活存量资产，向空中求发展、向楼宇求效益，2017年探索实行“两站三单四制”服务管理模式，全街楼宇品质、产业效益显著提升。2018年绿地中央广场成为全街首个亿元楼宇，获评“2017-2018长沙重点文创楼宇”，我街楼宇经济做法获市政府《调研参考》推介。2019年新增金湘大厦、创远大厦2个5000万楼宇。</w:t>
      </w:r>
      <w:r>
        <w:rPr>
          <w:rFonts w:ascii="仿宋_GB2312" w:eastAsia="仿宋_GB2312"/>
          <w:sz w:val="32"/>
          <w:szCs w:val="32"/>
        </w:rPr>
        <w:t>2020年楼宇贡献税收约3.5亿元，占比36.87%，新增商事主体1800余家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圆泰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引入法拉利销售展厅，全面提高了项目及片区形象。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二是产业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项目活力迸发。</w:t>
      </w:r>
      <w:r>
        <w:rPr>
          <w:rFonts w:hint="eastAsia" w:ascii="仿宋_GB2312" w:eastAsia="仿宋_GB2312"/>
          <w:sz w:val="32"/>
          <w:szCs w:val="32"/>
        </w:rPr>
        <w:t>2016年以来世</w:t>
      </w:r>
      <w:r>
        <w:rPr>
          <w:rFonts w:hint="eastAsia" w:ascii="仿宋_GB2312" w:hAnsi="仿宋_GB2312" w:eastAsia="仿宋_GB2312" w:cs="仿宋_GB2312"/>
          <w:sz w:val="32"/>
          <w:szCs w:val="32"/>
        </w:rPr>
        <w:t>茂、保利、三湘汇、弘坤君寓等一大批房地产建安项目落地，为街道经济发展增加了动力与活力。2018年</w:t>
      </w:r>
      <w:r>
        <w:rPr>
          <w:rFonts w:hint="eastAsia" w:ascii="仿宋_GB2312" w:eastAsia="仿宋_GB2312"/>
          <w:sz w:val="32"/>
          <w:szCs w:val="32"/>
        </w:rPr>
        <w:t>启动火</w:t>
      </w:r>
      <w:r>
        <w:rPr>
          <w:rFonts w:hint="eastAsia" w:ascii="仿宋_GB2312" w:hAnsi="宋体" w:eastAsia="仿宋_GB2312" w:cs="宋体"/>
          <w:sz w:val="32"/>
          <w:szCs w:val="32"/>
        </w:rPr>
        <w:t>炬城文化教育特色产业街区项目，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引进了乐学、麦田格、莫孚等文化教育总部企业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今年街道共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铺排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25个项目，</w:t>
      </w:r>
      <w:r>
        <w:rPr>
          <w:rFonts w:hint="eastAsia" w:ascii="仿宋_GB2312" w:eastAsia="仿宋_GB2312"/>
          <w:spacing w:val="-4"/>
          <w:sz w:val="32"/>
          <w:szCs w:val="32"/>
        </w:rPr>
        <w:t>年度投资约44.7亿元。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三是营商环境持续优化。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推进“放管服”和“最多跑一次”改革，大力开展“千人帮千企百日大行动”，政务服务主动进楼宇、进企业，“十三五”期间，年均走访企业500余家。今年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联合区直部门组成6个小组，采取“保姆式”服务对企业实施精准帮扶，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解决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企业上下游供应、手续办理、用人用工等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问题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余个。</w:t>
      </w:r>
    </w:p>
    <w:p>
      <w:pPr>
        <w:widowControl/>
        <w:spacing w:line="54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</w:t>
      </w:r>
      <w:r>
        <w:rPr>
          <w:rFonts w:hint="eastAsia" w:ascii="宋体" w:hAnsi="宋体" w:cs="宋体"/>
          <w:sz w:val="32"/>
          <w:szCs w:val="32"/>
          <w:lang w:val="zh-CN"/>
        </w:rPr>
        <w:t>社会治理优化创新。</w:t>
      </w:r>
      <w:r>
        <w:rPr>
          <w:rFonts w:hint="eastAsia" w:ascii="仿宋_GB2312" w:eastAsia="仿宋_GB2312"/>
          <w:sz w:val="32"/>
          <w:szCs w:val="32"/>
        </w:rPr>
        <w:t>聚焦</w:t>
      </w:r>
      <w:r>
        <w:rPr>
          <w:rFonts w:hint="eastAsia" w:ascii="仿宋_GB2312" w:hAnsi="仿宋_GB2312" w:eastAsia="仿宋_GB2312" w:cs="仿宋_GB2312"/>
          <w:sz w:val="32"/>
          <w:szCs w:val="32"/>
        </w:rPr>
        <w:t>治理痛点难点，瞄准群众关切需要，创新推进</w:t>
      </w:r>
      <w:r>
        <w:rPr>
          <w:rFonts w:hint="eastAsia" w:ascii="仿宋_GB2312" w:eastAsia="仿宋_GB2312"/>
          <w:sz w:val="32"/>
          <w:szCs w:val="32"/>
        </w:rPr>
        <w:t>社会治理工作，展现崭新“银盆风貌”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一是创新发展，完善基层治理模式。</w:t>
      </w:r>
      <w:r>
        <w:rPr>
          <w:rFonts w:hint="eastAsia" w:ascii="仿宋_GB2312" w:eastAsia="仿宋_GB2312"/>
          <w:sz w:val="32"/>
          <w:szCs w:val="32"/>
        </w:rPr>
        <w:t>2017年深化</w:t>
      </w:r>
      <w:r>
        <w:rPr>
          <w:rFonts w:hint="eastAsia" w:ascii="宋体" w:hAnsi="宋体" w:eastAsia="仿宋_GB2312"/>
          <w:sz w:val="32"/>
          <w:szCs w:val="32"/>
        </w:rPr>
        <w:t>社会治理</w:t>
      </w:r>
      <w:r>
        <w:rPr>
          <w:rFonts w:ascii="宋体" w:hAnsi="宋体" w:eastAsia="仿宋_GB2312"/>
          <w:sz w:val="32"/>
          <w:szCs w:val="32"/>
        </w:rPr>
        <w:t>3+</w:t>
      </w:r>
      <w:r>
        <w:rPr>
          <w:rFonts w:hint="eastAsia" w:ascii="宋体" w:hAnsi="宋体" w:eastAsia="仿宋_GB2312"/>
          <w:sz w:val="32"/>
          <w:szCs w:val="32"/>
        </w:rPr>
        <w:t>模式，培育</w:t>
      </w:r>
      <w:r>
        <w:rPr>
          <w:rFonts w:ascii="宋体" w:hAnsi="宋体" w:eastAsia="仿宋_GB2312"/>
          <w:sz w:val="32"/>
          <w:szCs w:val="32"/>
        </w:rPr>
        <w:t>55</w:t>
      </w:r>
      <w:r>
        <w:rPr>
          <w:rFonts w:hint="eastAsia" w:ascii="宋体" w:hAnsi="宋体" w:eastAsia="仿宋_GB2312"/>
          <w:sz w:val="32"/>
          <w:szCs w:val="32"/>
        </w:rPr>
        <w:t>个社会组织，引入“暖心社工”，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三进”“三治”“三整”，提升“三力”。2019年创新落实区委“五篇文章、十项举措”，探索实行“小区党组织+业委会+监事会+调委会+物业服务企业+志愿者”自治委员会新模式。今年已在11个小区试点自治委员会，培育景秀三期、湘许二期、沁园春等治理示范性小区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二是深度融合，推动服务力量下沉。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深入网格化管理，实行机关干部进网格每周不少于8小时服务制度，推进社区“坐班制”转“值班制”，“十三五”期间</w:t>
      </w:r>
      <w:r>
        <w:rPr>
          <w:rFonts w:hint="eastAsia" w:ascii="仿宋_GB2312" w:eastAsia="仿宋_GB2312"/>
          <w:sz w:val="32"/>
          <w:szCs w:val="32"/>
        </w:rPr>
        <w:t>累计走访居民17000余户、单位门店</w:t>
      </w:r>
      <w:r>
        <w:rPr>
          <w:rFonts w:ascii="仿宋_GB2312" w:eastAsia="仿宋_GB2312"/>
          <w:sz w:val="32"/>
          <w:szCs w:val="32"/>
        </w:rPr>
        <w:t>3400</w:t>
      </w:r>
      <w:r>
        <w:rPr>
          <w:rFonts w:hint="eastAsia" w:ascii="仿宋_GB2312" w:eastAsia="仿宋_GB2312"/>
          <w:sz w:val="32"/>
          <w:szCs w:val="32"/>
        </w:rPr>
        <w:t>余家</w:t>
      </w:r>
      <w:r>
        <w:rPr>
          <w:rFonts w:hint="eastAsia" w:ascii="仿宋_GB2312" w:hAnsi="仿宋_GB2312" w:eastAsia="仿宋_GB2312" w:cs="仿宋_GB2312"/>
          <w:sz w:val="32"/>
          <w:szCs w:val="32"/>
        </w:rPr>
        <w:t>。今年收集并解决民情问题532个，签收并办结市民热线1564件，办结率100 %，满意率99%。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三是多措并举，维护社会大局稳定。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按照“领导包案、联点联线”的原则，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积极化解信访积案，“十三五”以来有效化解滨江、桐梓坡、湘岳南路等信访问题51个；全面开展扫黑除恶、禁毒禁赌专项行动，精准打击</w:t>
      </w:r>
      <w:r>
        <w:rPr>
          <w:rFonts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家非法企业，依法惩处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余人。今年安全生产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排查单位1090家，发现并整改安全隐患950处。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（三）民生事业普惠提效。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始终以人民为中心，坚持民生为本，居民幸福指数不断提升。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一是社会保障力度增强。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低保工作规范运行，临时救助工作“应救尽救”，养老服务不断完善，就业再就业、</w:t>
      </w:r>
      <w:r>
        <w:rPr>
          <w:rFonts w:hint="eastAsia" w:ascii="仿宋_GB2312" w:hAnsi="仿宋" w:eastAsia="仿宋_GB2312"/>
          <w:sz w:val="32"/>
          <w:szCs w:val="32"/>
        </w:rPr>
        <w:t>创新创业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工作稳步推进，</w:t>
      </w:r>
      <w:r>
        <w:rPr>
          <w:rFonts w:hint="eastAsia" w:ascii="仿宋_GB2312" w:hAnsi="仿宋" w:eastAsia="仿宋_GB2312"/>
          <w:sz w:val="32"/>
          <w:szCs w:val="32"/>
        </w:rPr>
        <w:t>每年超额完成目标任务。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二是民生服务基础夯实。</w:t>
      </w:r>
      <w:r>
        <w:rPr>
          <w:rFonts w:hint="eastAsia" w:ascii="仿宋_GB2312" w:hAnsi="仿宋" w:eastAsia="仿宋_GB2312"/>
          <w:sz w:val="32"/>
          <w:szCs w:val="32"/>
        </w:rPr>
        <w:t>“一圈两场三道”高标完成，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打造了“市府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湘雅”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分钟示范生活圈。</w:t>
      </w:r>
      <w:r>
        <w:rPr>
          <w:rFonts w:hint="eastAsia" w:ascii="仿宋_GB2312" w:eastAsia="仿宋_GB2312"/>
          <w:sz w:val="32"/>
          <w:szCs w:val="32"/>
        </w:rPr>
        <w:t>圆满完成林海、银建、银鸿社区政务服务中心建设，林海社区、银星社区、银双社区成功争创市精品社区，目前正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推进街道社区卫生服务中心建设。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三是街域品质形象提升。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以来先后完成傅家洲村、湘岳南路、地铁六沟垅站、桐梓坡大板房等项目腾房腾地工作，今年加快推动岳银三村、国安局宿舍、万利新村等老旧小区提质改造，加速打通彩虹路、双塘路等瓶颈路、断头路。持续开展渣土扬尘、餐饮油烟、垃圾焚烧等专项整治，今年处理数字化案卷2869条，拆违25处。</w:t>
      </w:r>
    </w:p>
    <w:p>
      <w:pPr>
        <w:spacing w:line="58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当前工作中存在以下突出问题：</w:t>
      </w: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shd w:val="clear" w:color="auto" w:fill="FFFFFF"/>
        </w:rPr>
        <w:t>一是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产业培育有待加强</w:t>
      </w:r>
      <w:r>
        <w:rPr>
          <w:rFonts w:hint="eastAsia" w:ascii="宋体" w:hAnsi="宋体" w:cs="宋体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由于前期缺乏相应规划和引导，街道入驻企业分散、产业类型庞杂，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尚无上市企业、500强“拳头企业”、“龙头企业”，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加强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产业集聚化、特色化、高端化还有一个很长的过程。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二是投资拉动速度放缓。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辖区土地资源较少，重大项目开工率不高，重大固定资产投资项目为房地产续建工程的项目较多，总投资不大，且销售情况不理想。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三是治理实效有待提升。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12345热线群众投诉总量居高不下，满意率在全区排名不前，社会治理工作虽在探索创新中取得了一些成效，但治理协同性、精准性、实效性仍有待提升。</w:t>
      </w:r>
    </w:p>
    <w:p>
      <w:pPr>
        <w:spacing w:line="580" w:lineRule="exact"/>
        <w:ind w:firstLine="640" w:firstLineChars="200"/>
        <w:outlineLvl w:val="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sz w:val="32"/>
          <w:szCs w:val="32"/>
          <w:lang w:val="zh-CN"/>
        </w:rPr>
        <w:t>五、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下段工作安排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一是突出重点，打造特色，跨越产业发展新关口。</w:t>
      </w:r>
      <w:r>
        <w:rPr>
          <w:rFonts w:hint="eastAsia" w:ascii="楷体_GB2312" w:hAnsi="楷体_GB2312" w:eastAsia="楷体_GB2312" w:cs="楷体_GB2312"/>
          <w:sz w:val="32"/>
          <w:szCs w:val="32"/>
        </w:rPr>
        <w:t>一是推动楼宇经济乘势而上</w:t>
      </w:r>
      <w:r>
        <w:rPr>
          <w:rFonts w:hint="eastAsia" w:ascii="仿宋_GB2312" w:hAnsi="仿宋_GB2312" w:eastAsia="仿宋_GB2312" w:cs="仿宋_GB2312"/>
          <w:sz w:val="32"/>
          <w:szCs w:val="32"/>
        </w:rPr>
        <w:t>。聚焦工商注册率、税收贡献率，进一步做实“两站三单四制”管理服务模式，加快新建圆泰楼宇工作站，做好楼宇规范管理的文章。聚焦四上企业、重点税源企业、经济指标贡献企业，开展定期走访、精准帮扶。加快百思特、河小马、法拉利展销店等品牌企业落地，持续推动区域价值推广。</w:t>
      </w:r>
      <w:r>
        <w:rPr>
          <w:rFonts w:hint="eastAsia" w:ascii="楷体_GB2312" w:hAnsi="楷体_GB2312" w:eastAsia="楷体_GB2312" w:cs="楷体_GB2312"/>
          <w:sz w:val="32"/>
          <w:szCs w:val="32"/>
        </w:rPr>
        <w:t>二是加快产业项目形成支撑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。强化要素保障，服务地铁6号线、湘雅路过江隧道等重点工程建设，</w:t>
      </w:r>
      <w:r>
        <w:rPr>
          <w:rFonts w:hint="eastAsia" w:ascii="仿宋_GB2312" w:hAnsi="Calibri" w:eastAsia="仿宋_GB2312" w:cs="宋体"/>
          <w:sz w:val="32"/>
          <w:szCs w:val="32"/>
        </w:rPr>
        <w:t>加速完成2个项目的征地拆迁</w:t>
      </w:r>
      <w:r>
        <w:rPr>
          <w:rFonts w:hint="eastAsia" w:ascii="仿宋_GB2312" w:eastAsia="仿宋_GB2312" w:cs="宋体"/>
          <w:sz w:val="32"/>
          <w:szCs w:val="32"/>
        </w:rPr>
        <w:t>。</w:t>
      </w:r>
      <w:r>
        <w:rPr>
          <w:rFonts w:hint="eastAsia" w:ascii="仿宋_GB2312" w:hAnsi="Calibri" w:eastAsia="仿宋_GB2312" w:cs="宋体"/>
          <w:sz w:val="32"/>
          <w:szCs w:val="32"/>
        </w:rPr>
        <w:t>强力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推进新银州</w:t>
      </w:r>
      <w:r>
        <w:rPr>
          <w:rFonts w:hint="eastAsia" w:ascii="仿宋_GB2312" w:hAnsi="Calibri" w:eastAsia="仿宋_GB2312" w:cs="宋体"/>
          <w:sz w:val="32"/>
          <w:szCs w:val="32"/>
        </w:rPr>
        <w:t>城、润泽府二期、三湘银行、梦想地产、</w:t>
      </w:r>
      <w:r>
        <w:rPr>
          <w:rFonts w:hint="eastAsia" w:ascii="仿宋_GB2312" w:hAnsi="仿宋_GB2312" w:eastAsia="仿宋_GB2312" w:cs="仿宋_GB2312"/>
          <w:sz w:val="32"/>
          <w:szCs w:val="32"/>
        </w:rPr>
        <w:t>鲲鹏府</w:t>
      </w:r>
      <w:r>
        <w:rPr>
          <w:rFonts w:hint="eastAsia" w:ascii="仿宋_GB2312" w:hAnsi="Calibri" w:eastAsia="仿宋_GB2312" w:cs="宋体"/>
          <w:sz w:val="32"/>
          <w:szCs w:val="32"/>
        </w:rPr>
        <w:t>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，力促在建项目加快建、预备项目转新建。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二是党建引领，把握关键，开创社会治理新局面。</w:t>
      </w:r>
      <w:r>
        <w:rPr>
          <w:rFonts w:hint="eastAsia" w:ascii="楷体_GB2312" w:hAnsi="楷体_GB2312" w:eastAsia="楷体_GB2312" w:cs="楷体_GB2312"/>
          <w:sz w:val="32"/>
          <w:szCs w:val="32"/>
        </w:rPr>
        <w:t>一是增强驻街单位的凝聚力。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聚焦党员教育管理、社会治理、民生实事、产业发展等四个方面，联手联动辖区95个单位党组织共建一批优秀项目到社区、进小区，助力基层社会治理。</w:t>
      </w:r>
      <w:r>
        <w:rPr>
          <w:rFonts w:hint="eastAsia" w:ascii="楷体_GB2312" w:hAnsi="楷体_GB2312" w:eastAsia="楷体_GB2312" w:cs="楷体_GB2312"/>
          <w:sz w:val="32"/>
          <w:szCs w:val="32"/>
        </w:rPr>
        <w:t>二是激活居民组织的自治力。</w:t>
      </w:r>
      <w:r>
        <w:rPr>
          <w:rFonts w:hint="eastAsia" w:ascii="宋体" w:hAnsi="宋体" w:eastAsia="仿宋_GB2312"/>
          <w:sz w:val="32"/>
          <w:szCs w:val="32"/>
        </w:rPr>
        <w:t>推进小区自治委员会建设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，把小区多方共治机制抓在实处、落在细处。开展星级小区、优秀业委会、物业企业、志愿者评比，激发辖区单位和群众争创文明、和谐、安全小区的内生动力。</w:t>
      </w:r>
      <w:r>
        <w:rPr>
          <w:rFonts w:hint="eastAsia" w:ascii="楷体_GB2312" w:hAnsi="楷体_GB2312" w:eastAsia="楷体_GB2312" w:cs="楷体_GB2312"/>
          <w:sz w:val="32"/>
          <w:szCs w:val="32"/>
        </w:rPr>
        <w:t>三是提升居民群众的向心力。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以常态常效高标准抓好城市管理、打赢蓝天、碧水、净土保卫战，扮靓市府所在地、滨江会客厅、居民生活圈。持续开展银盆岭之星、岳麓楷模、湖南好人的评比和宣传，让正能量在银盆岭激昂彰显。</w:t>
      </w:r>
    </w:p>
    <w:p>
      <w:pPr>
        <w:spacing w:line="580" w:lineRule="exact"/>
        <w:ind w:firstLine="643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三是强化保障，提升管理，展现民生事业新作为。</w:t>
      </w:r>
      <w:r>
        <w:rPr>
          <w:rFonts w:hint="eastAsia" w:ascii="楷体_GB2312" w:hAnsi="楷体_GB2312" w:eastAsia="楷体_GB2312" w:cs="楷体_GB2312"/>
          <w:sz w:val="32"/>
          <w:szCs w:val="32"/>
        </w:rPr>
        <w:t>一是化解信访遗留问题。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重新梳理滨江11户、桐梓坡7户重点对象诉求，定领导、定任务、定目标、定责任、定奖惩，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积极化解，努力做到清存量、控增量、减总量。</w:t>
      </w:r>
      <w:r>
        <w:rPr>
          <w:rFonts w:hint="eastAsia" w:ascii="楷体_GB2312" w:hAnsi="楷体_GB2312" w:eastAsia="楷体_GB2312" w:cs="楷体_GB2312"/>
          <w:sz w:val="32"/>
          <w:szCs w:val="32"/>
        </w:rPr>
        <w:t>二是解决热点难点问题。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推进十大专项行动，聚焦餐饮油烟扰民、群租房整治、违章搭建等群众投诉多的热点难点问题，完善责任机制和处置机制，实现投诉率明显下降、满意率明显上升。</w:t>
      </w:r>
      <w:r>
        <w:rPr>
          <w:rFonts w:hint="eastAsia" w:ascii="楷体_GB2312" w:hAnsi="楷体_GB2312" w:eastAsia="楷体_GB2312" w:cs="楷体_GB2312"/>
          <w:sz w:val="32"/>
          <w:szCs w:val="32"/>
        </w:rPr>
        <w:t>三是筑牢抵御风险防线。</w:t>
      </w:r>
      <w:r>
        <w:rPr>
          <w:rFonts w:hint="eastAsia" w:ascii="仿宋_GB2312" w:hAnsi="仿宋_GB2312" w:eastAsia="仿宋_GB2312" w:cs="仿宋_GB2312"/>
          <w:sz w:val="32"/>
          <w:szCs w:val="32"/>
        </w:rPr>
        <w:t>时刻绷紧各行各业安全生产这根弦，特别防范我街建筑工地、消防安全两个关键红线，压紧压实企业主体责任，牢牢守住安全生产底线。</w:t>
      </w:r>
    </w:p>
    <w:p>
      <w:pPr>
        <w:adjustRightInd w:val="0"/>
        <w:snapToGrid w:val="0"/>
        <w:spacing w:line="400" w:lineRule="exact"/>
        <w:ind w:firstLine="300" w:firstLineChars="200"/>
        <w:rPr>
          <w:rFonts w:hint="eastAsia" w:ascii="宋体" w:hAnsi="宋体" w:eastAsia="仿宋_GB2312"/>
          <w:sz w:val="15"/>
          <w:szCs w:val="15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2020年度市容环境维护经费</w:t>
      </w:r>
      <w:r>
        <w:rPr>
          <w:rFonts w:hint="eastAsia" w:ascii="宋体" w:hAnsi="宋体" w:eastAsia="方正小标宋简体"/>
          <w:bCs/>
          <w:sz w:val="44"/>
          <w:szCs w:val="44"/>
        </w:rPr>
        <w:t>绩效评价报告</w:t>
      </w:r>
    </w:p>
    <w:p>
      <w:pPr>
        <w:spacing w:line="600" w:lineRule="exact"/>
        <w:jc w:val="center"/>
        <w:rPr>
          <w:rFonts w:ascii="宋体" w:hAnsi="宋体"/>
          <w:szCs w:val="32"/>
        </w:rPr>
      </w:pPr>
    </w:p>
    <w:p>
      <w:pPr>
        <w:spacing w:line="60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一、项目基本情况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（一）项目概况。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银盆岭街道办事处辖区内的环境卫生治理工作。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（二）项目绩效目标。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1、项目绩效总目标。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充分发挥财政资金的效益，较上一年度明显提升区域内环境质量，打造宜居</w:t>
      </w:r>
      <w:r>
        <w:rPr>
          <w:rFonts w:hint="eastAsia" w:ascii="宋体" w:hAnsi="宋体" w:eastAsia="仿宋_GB2312"/>
          <w:sz w:val="32"/>
          <w:szCs w:val="32"/>
          <w:lang w:eastAsia="zh-CN"/>
        </w:rPr>
        <w:t>银盆岭</w:t>
      </w:r>
      <w:r>
        <w:rPr>
          <w:rFonts w:hint="eastAsia" w:ascii="宋体" w:hAnsi="宋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2、项目绩效阶段性目标。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年内植被覆盖率≥60%，明显减少扬尘污染。</w:t>
      </w:r>
    </w:p>
    <w:p>
      <w:pPr>
        <w:spacing w:line="60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二、项目资金使用及管理情况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　</w:t>
      </w:r>
      <w:r>
        <w:rPr>
          <w:rFonts w:hint="eastAsia" w:ascii="宋体" w:hAnsi="宋体" w:eastAsia="仿宋_GB2312"/>
          <w:sz w:val="32"/>
          <w:szCs w:val="32"/>
        </w:rPr>
        <w:t>2020年项目总投入财政资金696万元，在经费使用中，我街道严格按照资金适用范围执行使用，对于资金使用继续做到规范管理，严禁截留或挪作他用。</w:t>
      </w:r>
    </w:p>
    <w:p>
      <w:pPr>
        <w:spacing w:line="60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三、绩效评价工作情况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（一）绩效评价目的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加强对财政专项资金的监管力度，确保专款专用，提高资金的产出效率，为下一年度资金的分配与科学使用提供参考。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（二）项目组织实施情况 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1、重点加强经费支出合法性、真实性及合理性的审核，减少资金的浪费，提高使用效益。　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2、在日常工作中，厉行节约，做到“取之有度，用之有节”。　　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3、保持项目资金使用情况及时汇报、定期检查，保证资金合理使用。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四、绩效评价指标分析情况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（一）项目资金情况分析。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2020年区级拨环境卫生经费资金全面拨付到位。资金使用全部到位。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（二）项目实施情况分析。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1、项目组织情况分析。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根据街道工委年初统一部署，紧紧围绕提升区域环境质量的中心任务，有计划有步骤地开展一系列工作。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（1）加大对村（社区）的环卫资金使用监管，确保专款专用。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（2）采用“以奖代投”的方式加大村（社区）环卫工作方面的投入。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（3）购买花草种子美化环境。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（4）建立固体垃圾无害化处置机制。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2、项目管理情况分析。</w:t>
      </w:r>
    </w:p>
    <w:p>
      <w:pPr>
        <w:spacing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项目支出均按照有关规章制度和项目实施完成情况进行支付。并建立相关的管理制度，有专人负责项目进行时有负责人及时跟踪项目实施情况，并及时提出意见和建议。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（三）项目绩效情况分析。</w:t>
      </w:r>
    </w:p>
    <w:p>
      <w:pPr>
        <w:spacing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1、项目经济性分析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（1）项目成本（预算）控制情况。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该项目成本控制情况较好，未超出年初预算。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（2）项目成本（预算）节约情况。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该项目资金尚结余  万元，待相关工作验收完工后再予以支付。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2、项目的效率性分析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（1）项目的实施进度。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项目进度完成良好，全面完成年度工作任务。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（2）项目完成质量。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辖区内环境质量提升效果显著。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3、项目的效益性分析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（1）项目预期目标完成程度。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全面完成目标任务。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（2）项目实施对经济和社会的影响。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环境治理提升了街道的形象，更有利于优势产业的入驻，促进经济发展。</w:t>
      </w:r>
    </w:p>
    <w:p>
      <w:pPr>
        <w:spacing w:line="600" w:lineRule="exact"/>
        <w:ind w:firstLine="640" w:firstLineChars="200"/>
        <w:rPr>
          <w:rFonts w:ascii="宋体" w:hAnsi="宋体" w:eastAsia="黑体"/>
          <w:bCs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五、综合评价情况及评价结论</w:t>
      </w:r>
      <w:r>
        <w:rPr>
          <w:rFonts w:hint="eastAsia" w:ascii="宋体" w:hAnsi="宋体" w:eastAsia="黑体"/>
          <w:bCs/>
          <w:sz w:val="32"/>
          <w:szCs w:val="32"/>
        </w:rPr>
        <w:t>（附相关评分表）</w:t>
      </w:r>
    </w:p>
    <w:p>
      <w:pPr>
        <w:spacing w:line="600" w:lineRule="exact"/>
        <w:ind w:firstLine="640" w:firstLineChars="200"/>
        <w:rPr>
          <w:rFonts w:ascii="宋体" w:hAnsi="宋体" w:eastAsia="黑体"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center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绩效评价指标评分表</w:t>
      </w:r>
    </w:p>
    <w:tbl>
      <w:tblPr>
        <w:tblStyle w:val="4"/>
        <w:tblW w:w="82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59"/>
        <w:gridCol w:w="901"/>
        <w:gridCol w:w="174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分值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项目决策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项目目标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目标内容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决策过程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决策依据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决策程序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资金分配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分配办法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分配结果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项目管理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资金到位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到位率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到位时效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资金管理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资金使用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组织实施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组织机构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管理制度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项目绩效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项目产出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产出质量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产出时效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产出成本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项目效益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环境效益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可持续影响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总分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评价等次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600" w:lineRule="exact"/>
        <w:ind w:firstLine="640" w:firstLineChars="200"/>
        <w:rPr>
          <w:rFonts w:ascii="宋体" w:hAnsi="宋体" w:eastAsia="黑体"/>
          <w:bCs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六、绩效评价结果应用建议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建议财政及时足额拨付项目预算资金，加强对项目的跟踪监管，提升资金使用效率。</w:t>
      </w:r>
    </w:p>
    <w:p>
      <w:pPr>
        <w:spacing w:line="60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七、主要经验及做法、存在的问题和建议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1、经验及做法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（1）严格控制支出，保证资金有效利用。（2）完善财务报账手续，严格按照合同规定的项目实施进度付款。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2、存在的问题和建议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（1）项目资金下达时间有时较为滞后，建议及时拨付专项资金。（2）由于人力、物力成本上升，建议加大专项资金的投入力度。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15pt;width:17.5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XXO+adEAAAAD&#10;AQAADwAAAGRycy9kb3ducmV2LnhtbE2PzU7DMBCE70h9B2srcaNOKT9RiNNDJS7cWhASNzfexhH2&#10;OrLdNHn7LlzgMtJoVjPf1tvJOzFiTH0gBetVAQKpDaanTsHH++tdCSJlTUa7QKhgxgTbZnFT68qE&#10;C+1xPOROcAmlSiuwOQ+VlKm16HVahQGJs1OIXme2sZMm6guXeyfvi+JJet0TL1g94M5i+304ewXP&#10;02fAIeEOv05jG20/l+5tVup2uS5eQGSc8t8x/OAzOjTMdAxnMkk4BfxI/lXONo/sjgoeyg3Ippb/&#10;2ZsrUEsDBBQAAAAIAIdO4kA56vhmzAEAAJcDAAAOAAAAZHJzL2Uyb0RvYy54bWytU0tu2zAQ3RfI&#10;HQjuYykqkhaC5aCFkSBA0RZIegCaIi0C/IFDW/IF2ht01U33PZfP0SElOU2yyaJaUMOZ0Zt5b0bL&#10;68FoshcBlLMNvViUlAjLXavstqHfHm7O31MCkdmWaWdFQw8C6PXq7M2y97WoXOd0KwJBEAt17xva&#10;xejrogDeCcNg4bywGJQuGBbxGrZFG1iP6EYXVVleFb0LrQ+OCwD0rscgnRDDawCdlIqLteM7I2wc&#10;UYPQLCIl6JQHusrdSil4/CIliEh0Q5FpzCcWQXuTzmK1ZPU2MN8pPrXAXtPCM06GKYtFT1BrFhnZ&#10;BfUCyigeHDgZF9yZYiSSFUEWF+Uzbe475kXmglKDP4kO/w+Wf95/DUS1Da0osczgwI8/fxx//Tn+&#10;/k6qJE/vocase495cfjoBlya2Q/oTKwHGUx6Ix+CcRT3cBJXDJFwdFb4XGKEY+htefWuvEwoxePH&#10;PkC8Fc6QZDQ04OyypGz/CeKYOqekWtbdKK3z/LR94kDM5ClS52OHyYrDZpjobFx7QDY9jr2hFrec&#10;En1nUdW0IbMRZmMzGzsf1LbLK5Tqgf+wi9hE7i1VGGGnwjivzG7arbQQ/95z1uP/tP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XO+adEAAAADAQAADwAAAAAAAAABACAAAAAiAAAAZHJzL2Rvd25y&#10;ZXYueG1sUEsBAhQAFAAAAAgAh07iQDnq+GbMAQAAlw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C2EF"/>
    <w:multiLevelType w:val="singleLevel"/>
    <w:tmpl w:val="58DDC2E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631AA"/>
    <w:rsid w:val="206072A0"/>
    <w:rsid w:val="274631AA"/>
    <w:rsid w:val="514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2021-08-26T08:58:00Z</dcterms:created>
  <dc:creator>Administrator</dc:creator>
  <cp:lastModifiedBy>Administrator</cp:lastModifiedBy>
  <dcterms:modified xsi:type="dcterms:W3CDTF">2022-03-10T02:04:50Z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