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kern w:val="0"/>
          <w:sz w:val="32"/>
          <w:szCs w:val="32"/>
        </w:rPr>
      </w:pPr>
      <w:r>
        <w:rPr>
          <w:rFonts w:eastAsia="仿宋_GB2312"/>
          <w:kern w:val="0"/>
          <w:sz w:val="32"/>
          <w:szCs w:val="32"/>
        </w:rPr>
        <w:t>附件1</w:t>
      </w:r>
      <w:bookmarkStart w:id="0" w:name="_GoBack"/>
      <w:bookmarkEnd w:id="0"/>
    </w:p>
    <w:p>
      <w:pPr>
        <w:pStyle w:val="2"/>
        <w:rPr>
          <w:lang w:val="en-US"/>
        </w:rPr>
      </w:pPr>
    </w:p>
    <w:p>
      <w:pPr>
        <w:adjustRightInd w:val="0"/>
        <w:snapToGrid w:val="0"/>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雨敞坪镇2021年烟花爆竹及危险化学品</w:t>
      </w:r>
    </w:p>
    <w:p>
      <w:pPr>
        <w:adjustRightInd w:val="0"/>
        <w:snapToGrid w:val="0"/>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安全监管执法计划</w:t>
      </w:r>
    </w:p>
    <w:p>
      <w:pPr>
        <w:pStyle w:val="2"/>
        <w:spacing w:line="600" w:lineRule="exact"/>
        <w:ind w:left="0"/>
        <w:rPr>
          <w:rFonts w:ascii="Times New Roman" w:hAnsi="Times New Roman" w:cs="Times New Roman"/>
        </w:rPr>
      </w:pPr>
    </w:p>
    <w:p>
      <w:pPr>
        <w:adjustRightInd w:val="0"/>
        <w:snapToGrid w:val="0"/>
        <w:spacing w:line="600" w:lineRule="exact"/>
        <w:ind w:firstLine="640" w:firstLineChars="200"/>
        <w:rPr>
          <w:rFonts w:eastAsia="黑体"/>
          <w:kern w:val="0"/>
          <w:sz w:val="32"/>
          <w:szCs w:val="32"/>
        </w:rPr>
      </w:pPr>
      <w:r>
        <w:rPr>
          <w:rFonts w:eastAsia="黑体"/>
          <w:kern w:val="0"/>
          <w:sz w:val="32"/>
          <w:szCs w:val="32"/>
        </w:rPr>
        <w:t>一、辖区危险化学品基本情况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目前共有烟花爆竹经营门店</w:t>
      </w:r>
      <w:r>
        <w:rPr>
          <w:rFonts w:hint="eastAsia" w:eastAsia="仿宋_GB2312"/>
          <w:kern w:val="0"/>
          <w:sz w:val="32"/>
          <w:szCs w:val="32"/>
        </w:rPr>
        <w:t>21</w:t>
      </w:r>
      <w:r>
        <w:rPr>
          <w:rFonts w:eastAsia="仿宋_GB2312"/>
          <w:kern w:val="0"/>
          <w:sz w:val="32"/>
          <w:szCs w:val="32"/>
        </w:rPr>
        <w:t>家</w:t>
      </w:r>
      <w:r>
        <w:rPr>
          <w:rFonts w:hint="eastAsia" w:eastAsia="仿宋_GB2312"/>
          <w:kern w:val="0"/>
          <w:sz w:val="32"/>
          <w:szCs w:val="32"/>
        </w:rPr>
        <w:t>，加油站1家</w:t>
      </w:r>
      <w:r>
        <w:rPr>
          <w:rFonts w:eastAsia="仿宋_GB2312"/>
          <w:kern w:val="0"/>
          <w:sz w:val="32"/>
          <w:szCs w:val="32"/>
        </w:rPr>
        <w:t>。2020年烟花爆竹领域</w:t>
      </w:r>
      <w:r>
        <w:rPr>
          <w:rFonts w:hint="eastAsia" w:eastAsia="仿宋_GB2312"/>
          <w:kern w:val="0"/>
          <w:sz w:val="32"/>
          <w:szCs w:val="32"/>
        </w:rPr>
        <w:t>及危险化学品</w:t>
      </w:r>
      <w:r>
        <w:rPr>
          <w:rFonts w:eastAsia="仿宋_GB2312"/>
          <w:kern w:val="0"/>
          <w:sz w:val="32"/>
          <w:szCs w:val="32"/>
        </w:rPr>
        <w:t>未发生生产安全事故。</w:t>
      </w:r>
    </w:p>
    <w:p>
      <w:pPr>
        <w:adjustRightInd w:val="0"/>
        <w:snapToGrid w:val="0"/>
        <w:spacing w:line="600" w:lineRule="exact"/>
        <w:ind w:firstLine="640" w:firstLineChars="200"/>
        <w:rPr>
          <w:rFonts w:eastAsia="黑体"/>
          <w:kern w:val="0"/>
          <w:sz w:val="32"/>
          <w:szCs w:val="32"/>
        </w:rPr>
      </w:pPr>
      <w:r>
        <w:rPr>
          <w:rFonts w:eastAsia="黑体"/>
          <w:kern w:val="0"/>
          <w:sz w:val="32"/>
          <w:szCs w:val="32"/>
        </w:rPr>
        <w:t>二、主要执法依据</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（一）</w:t>
      </w:r>
      <w:r>
        <w:rPr>
          <w:rFonts w:hint="eastAsia" w:eastAsia="仿宋_GB2312"/>
          <w:kern w:val="0"/>
          <w:sz w:val="32"/>
          <w:szCs w:val="32"/>
          <w:lang w:eastAsia="zh-CN"/>
        </w:rPr>
        <w:t>《中华人民共和国安全生产法》《中华人民共和国行政处罚法》</w:t>
      </w:r>
      <w:r>
        <w:rPr>
          <w:rFonts w:eastAsia="仿宋_GB2312"/>
          <w:kern w:val="0"/>
          <w:sz w:val="32"/>
          <w:szCs w:val="32"/>
        </w:rPr>
        <w:t>《烟花爆竹安全管理条例》《安全生产许可证条例》《生产安全事故应急条例》《湖南省安全生产条例》；</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二）《安全生产事故隐患排查治理暂行规定》《烟花爆竹生产企业安全生产许可证实施办法》《烟花爆竹生产经营安全规定》《安全生产违法行为行政处罚办法》《烟花爆竹经营许可实施办法》《烟花爆竹工程设计安全规范》《烟花爆竹安全与质量》《烟花爆竹安全作业技术规程》《安全生产监管监察职责和行政执法责任追究的规定》《湖南省生产经营单位安全生产主体责任规定；</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三</w:t>
      </w:r>
      <w:r>
        <w:rPr>
          <w:rFonts w:eastAsia="仿宋_GB2312"/>
          <w:kern w:val="0"/>
          <w:sz w:val="32"/>
          <w:szCs w:val="32"/>
        </w:rPr>
        <w:t>）其他相关法律法规和标准规范及法规性规范性文件。</w:t>
      </w:r>
    </w:p>
    <w:p>
      <w:pPr>
        <w:adjustRightInd w:val="0"/>
        <w:snapToGrid w:val="0"/>
        <w:spacing w:line="600" w:lineRule="exact"/>
        <w:ind w:firstLine="640" w:firstLineChars="200"/>
        <w:rPr>
          <w:rFonts w:eastAsia="黑体"/>
          <w:kern w:val="0"/>
          <w:sz w:val="32"/>
          <w:szCs w:val="32"/>
        </w:rPr>
      </w:pPr>
      <w:r>
        <w:rPr>
          <w:rFonts w:eastAsia="黑体"/>
          <w:kern w:val="0"/>
          <w:sz w:val="32"/>
          <w:szCs w:val="32"/>
        </w:rPr>
        <w:t>三、重点检查内容</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抓住危险化学品企业重大风险管控和重大事故隐患排查治理开展执法检查，督促企业加大安全投入、加快安全技术改造、强化安全风险管控、切实整治事故隐患，提高事故防范能力。对直接执法对象重点检查以下内容：</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（一）依法取得有关安全生产行政许可证照的情况；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（二）危险化学品储存企业依法每三年进行一次安全评价的情况；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（三）建立和落实安全生产责任制、安全生产规章制度和操作规程、作业规程的情况；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（四）按照国家规定提取和使用安全生产费用，以及其他安全生产投入的情况；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（五）依法设置安全生产管理机构和配备安全生产管理人员的情况；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（六）从业人员受到安全生产教育、培训，取得有关安全培训合格证书的情况；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（七）新建、改建、扩建危险化学品项目的安全设施与主体工程同时设计、同时施工、同时投入生产和使用，以及按规定办理设计审查和自主实施竣工验收的情况；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（八）在有较大危险因素的生产经营场所和有关设施、设备上，设置安全警示标志的情况；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（九）对安全设备设施的维护、保养、定期检测的情况；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（十）制定应急预案的情况；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（十一）教育和督促从业人员严格执行本单位的安全生产规章制度和安全操作规程，并向从业人员如实告知作业场所和工作岗位存在的危险因素、防范措施以及事故应急措施的情况；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（十二）为从业人员提供符合国家标准或者行业标准的劳动防护用品，并监督、教育从业人员按照使用规则正确佩戴和使用的情况；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十三）在同一作业区域内进行生产经营活动，可能危及对方生产安全的，与对方签订安全生产管理协议，明确各自的安全生产管理职责和应当采取的安全措施，并指定专职安全生产管理人员进行安全检查与协调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（十四）对承包单位、承租单位的安全生产工作实行统一协调、管理的情况；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（十五）组织安全生产检查，及时排查治理生产安全事故隐患的情况；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（十六）制定、实施生产安全事故应急预案，以及有关应急预案备案的情况；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（十七）建立应急救援组织或者兼职救援队伍以及应急救援器材、设备的配备、维护、保养的情况；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（十八）按照规定报告本单位生产安全事故的情况；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（十九）依法应当监督检查的其他情况。</w:t>
      </w:r>
    </w:p>
    <w:p>
      <w:pPr>
        <w:adjustRightInd w:val="0"/>
        <w:snapToGrid w:val="0"/>
        <w:spacing w:line="600" w:lineRule="exact"/>
        <w:ind w:firstLine="640" w:firstLineChars="200"/>
        <w:rPr>
          <w:rFonts w:eastAsia="黑体"/>
          <w:kern w:val="0"/>
          <w:sz w:val="32"/>
          <w:szCs w:val="32"/>
        </w:rPr>
      </w:pPr>
      <w:r>
        <w:rPr>
          <w:rFonts w:eastAsia="黑体"/>
          <w:kern w:val="0"/>
          <w:sz w:val="32"/>
          <w:szCs w:val="32"/>
        </w:rPr>
        <w:t>四、重点监管执法对象</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按照分类分级实施安全监管执法的要求，对辖区</w:t>
      </w:r>
      <w:r>
        <w:rPr>
          <w:rFonts w:hint="eastAsia" w:eastAsia="仿宋_GB2312"/>
          <w:kern w:val="0"/>
          <w:sz w:val="32"/>
          <w:szCs w:val="32"/>
        </w:rPr>
        <w:t>1</w:t>
      </w:r>
      <w:r>
        <w:rPr>
          <w:rFonts w:eastAsia="仿宋_GB2312"/>
          <w:kern w:val="0"/>
          <w:sz w:val="32"/>
          <w:szCs w:val="32"/>
        </w:rPr>
        <w:t>家加油站进行重点监管执法，每年检查</w:t>
      </w:r>
      <w:r>
        <w:rPr>
          <w:rFonts w:hint="eastAsia" w:eastAsia="仿宋_GB2312"/>
          <w:kern w:val="0"/>
          <w:sz w:val="32"/>
          <w:szCs w:val="32"/>
        </w:rPr>
        <w:t>4</w:t>
      </w:r>
      <w:r>
        <w:rPr>
          <w:rFonts w:eastAsia="仿宋_GB2312"/>
          <w:kern w:val="0"/>
          <w:sz w:val="32"/>
          <w:szCs w:val="32"/>
        </w:rPr>
        <w:t>次；烟花爆竹经营门店共</w:t>
      </w:r>
      <w:r>
        <w:rPr>
          <w:rFonts w:hint="eastAsia" w:eastAsia="仿宋_GB2312"/>
          <w:kern w:val="0"/>
          <w:sz w:val="32"/>
          <w:szCs w:val="32"/>
        </w:rPr>
        <w:t>21</w:t>
      </w:r>
      <w:r>
        <w:rPr>
          <w:rFonts w:eastAsia="仿宋_GB2312"/>
          <w:kern w:val="0"/>
          <w:sz w:val="32"/>
          <w:szCs w:val="32"/>
        </w:rPr>
        <w:t>家，全年检查</w:t>
      </w:r>
      <w:r>
        <w:rPr>
          <w:rFonts w:hint="eastAsia" w:eastAsia="仿宋_GB2312"/>
          <w:kern w:val="0"/>
          <w:sz w:val="32"/>
          <w:szCs w:val="32"/>
        </w:rPr>
        <w:t>4</w:t>
      </w:r>
      <w:r>
        <w:rPr>
          <w:rFonts w:eastAsia="仿宋_GB2312"/>
          <w:kern w:val="0"/>
          <w:sz w:val="32"/>
          <w:szCs w:val="32"/>
        </w:rPr>
        <w:t>次。</w:t>
      </w:r>
    </w:p>
    <w:p>
      <w:pPr>
        <w:adjustRightInd w:val="0"/>
        <w:snapToGrid w:val="0"/>
        <w:spacing w:line="600" w:lineRule="exact"/>
        <w:ind w:firstLine="640" w:firstLineChars="200"/>
        <w:rPr>
          <w:rFonts w:eastAsia="黑体"/>
          <w:kern w:val="0"/>
          <w:sz w:val="32"/>
          <w:szCs w:val="32"/>
        </w:rPr>
      </w:pPr>
      <w:r>
        <w:rPr>
          <w:rFonts w:eastAsia="黑体"/>
          <w:kern w:val="0"/>
          <w:sz w:val="32"/>
          <w:szCs w:val="32"/>
        </w:rPr>
        <w:t>五、执法方式和进度安排</w:t>
      </w:r>
    </w:p>
    <w:p>
      <w:pPr>
        <w:adjustRightInd w:val="0"/>
        <w:snapToGrid w:val="0"/>
        <w:spacing w:line="600" w:lineRule="exact"/>
        <w:ind w:firstLine="640" w:firstLineChars="200"/>
        <w:rPr>
          <w:rFonts w:eastAsia="仿宋_GB2312"/>
          <w:kern w:val="0"/>
          <w:sz w:val="32"/>
          <w:szCs w:val="32"/>
        </w:rPr>
      </w:pPr>
      <w:r>
        <w:rPr>
          <w:kern w:val="0"/>
          <w:sz w:val="32"/>
          <w:szCs w:val="32"/>
        </w:rPr>
        <w:t>（一）直接执法安排。</w:t>
      </w:r>
      <w:r>
        <w:rPr>
          <w:rFonts w:eastAsia="仿宋_GB2312"/>
          <w:kern w:val="0"/>
          <w:sz w:val="32"/>
          <w:szCs w:val="32"/>
        </w:rPr>
        <w:t>由</w:t>
      </w:r>
      <w:r>
        <w:rPr>
          <w:rFonts w:hint="eastAsia" w:eastAsia="仿宋_GB2312"/>
          <w:kern w:val="0"/>
          <w:sz w:val="32"/>
          <w:szCs w:val="32"/>
        </w:rPr>
        <w:t>社会治安应急管理</w:t>
      </w:r>
      <w:r>
        <w:rPr>
          <w:rFonts w:eastAsia="仿宋_GB2312"/>
          <w:kern w:val="0"/>
          <w:sz w:val="32"/>
          <w:szCs w:val="32"/>
        </w:rPr>
        <w:t>办执法人员组成执法组，对直接执法对象实施计划执法。并按照执法文书规定期限组织复查。</w:t>
      </w:r>
    </w:p>
    <w:p>
      <w:pPr>
        <w:adjustRightInd w:val="0"/>
        <w:snapToGrid w:val="0"/>
        <w:spacing w:line="600" w:lineRule="exact"/>
        <w:ind w:firstLine="640" w:firstLineChars="200"/>
        <w:rPr>
          <w:rFonts w:eastAsia="仿宋_GB2312"/>
          <w:kern w:val="0"/>
          <w:sz w:val="32"/>
          <w:szCs w:val="32"/>
        </w:rPr>
      </w:pPr>
      <w:r>
        <w:rPr>
          <w:kern w:val="0"/>
          <w:sz w:val="32"/>
          <w:szCs w:val="32"/>
        </w:rPr>
        <w:t>（二）双随机抽查。</w:t>
      </w:r>
      <w:r>
        <w:rPr>
          <w:rFonts w:eastAsia="仿宋_GB2312"/>
          <w:kern w:val="0"/>
          <w:sz w:val="32"/>
          <w:szCs w:val="32"/>
        </w:rPr>
        <w:t>按双随机相关规定安排</w:t>
      </w:r>
      <w:r>
        <w:rPr>
          <w:rFonts w:hint="eastAsia" w:eastAsia="仿宋_GB2312"/>
          <w:kern w:val="0"/>
          <w:sz w:val="32"/>
          <w:szCs w:val="32"/>
        </w:rPr>
        <w:t>社会治安应急管理</w:t>
      </w:r>
      <w:r>
        <w:rPr>
          <w:rFonts w:eastAsia="仿宋_GB2312"/>
          <w:kern w:val="0"/>
          <w:sz w:val="32"/>
          <w:szCs w:val="32"/>
        </w:rPr>
        <w:t>办执法人员组织参加。</w:t>
      </w:r>
    </w:p>
    <w:p>
      <w:pPr>
        <w:adjustRightInd w:val="0"/>
        <w:snapToGrid w:val="0"/>
        <w:spacing w:line="600" w:lineRule="exact"/>
        <w:ind w:firstLine="640" w:firstLineChars="200"/>
        <w:rPr>
          <w:rFonts w:eastAsia="仿宋_GB2312"/>
          <w:kern w:val="0"/>
          <w:sz w:val="32"/>
          <w:szCs w:val="32"/>
        </w:rPr>
      </w:pPr>
      <w:r>
        <w:rPr>
          <w:kern w:val="0"/>
          <w:sz w:val="32"/>
          <w:szCs w:val="32"/>
        </w:rPr>
        <w:t>（三）联合执法安排。</w:t>
      </w:r>
      <w:r>
        <w:rPr>
          <w:rFonts w:eastAsia="仿宋_GB2312"/>
          <w:kern w:val="0"/>
          <w:sz w:val="32"/>
          <w:szCs w:val="32"/>
        </w:rPr>
        <w:t>根据工作需要，经</w:t>
      </w:r>
      <w:r>
        <w:rPr>
          <w:rFonts w:hint="eastAsia" w:eastAsia="仿宋_GB2312"/>
          <w:kern w:val="0"/>
          <w:sz w:val="32"/>
          <w:szCs w:val="32"/>
        </w:rPr>
        <w:t>镇</w:t>
      </w:r>
      <w:r>
        <w:rPr>
          <w:rFonts w:eastAsia="仿宋_GB2312"/>
          <w:kern w:val="0"/>
          <w:sz w:val="32"/>
          <w:szCs w:val="32"/>
        </w:rPr>
        <w:t>领导批准、商有关单位实施。联合执法发现的问题，属于应急管理部门管辖的，由</w:t>
      </w:r>
      <w:r>
        <w:rPr>
          <w:rFonts w:hint="eastAsia" w:eastAsia="仿宋_GB2312"/>
          <w:kern w:val="0"/>
          <w:sz w:val="32"/>
          <w:szCs w:val="32"/>
        </w:rPr>
        <w:t>社会治安应急管理</w:t>
      </w:r>
      <w:r>
        <w:rPr>
          <w:rFonts w:eastAsia="仿宋_GB2312"/>
          <w:kern w:val="0"/>
          <w:sz w:val="32"/>
          <w:szCs w:val="32"/>
        </w:rPr>
        <w:t>办查处。</w:t>
      </w:r>
    </w:p>
    <w:p>
      <w:pPr>
        <w:adjustRightInd w:val="0"/>
        <w:snapToGrid w:val="0"/>
        <w:spacing w:line="600" w:lineRule="exact"/>
        <w:ind w:firstLine="640" w:firstLineChars="200"/>
        <w:rPr>
          <w:rFonts w:eastAsia="黑体"/>
          <w:kern w:val="0"/>
          <w:sz w:val="32"/>
          <w:szCs w:val="32"/>
        </w:rPr>
      </w:pPr>
      <w:r>
        <w:rPr>
          <w:rFonts w:hint="eastAsia" w:eastAsia="黑体"/>
          <w:kern w:val="0"/>
          <w:sz w:val="32"/>
          <w:szCs w:val="32"/>
        </w:rPr>
        <w:t>六</w:t>
      </w:r>
      <w:r>
        <w:rPr>
          <w:rFonts w:eastAsia="黑体"/>
          <w:kern w:val="0"/>
          <w:sz w:val="32"/>
          <w:szCs w:val="32"/>
        </w:rPr>
        <w:t>、烟花爆竹监管对象（</w:t>
      </w:r>
      <w:r>
        <w:rPr>
          <w:rFonts w:hint="eastAsia" w:eastAsia="黑体"/>
          <w:kern w:val="0"/>
          <w:sz w:val="32"/>
          <w:szCs w:val="32"/>
        </w:rPr>
        <w:t>21</w:t>
      </w:r>
      <w:r>
        <w:rPr>
          <w:rFonts w:eastAsia="黑体"/>
          <w:kern w:val="0"/>
          <w:sz w:val="32"/>
          <w:szCs w:val="32"/>
        </w:rPr>
        <w:t>家）</w:t>
      </w:r>
    </w:p>
    <w:p>
      <w:pPr>
        <w:widowControl/>
        <w:spacing w:line="600" w:lineRule="exact"/>
        <w:ind w:firstLine="640" w:firstLineChars="200"/>
        <w:rPr>
          <w:rFonts w:eastAsia="仿宋_GB2312"/>
          <w:kern w:val="0"/>
          <w:sz w:val="32"/>
          <w:szCs w:val="32"/>
        </w:rPr>
      </w:pPr>
      <w:r>
        <w:rPr>
          <w:rFonts w:eastAsia="仿宋_GB2312"/>
          <w:kern w:val="0"/>
          <w:sz w:val="32"/>
          <w:szCs w:val="32"/>
        </w:rPr>
        <w:t>1. 长沙市岳麓区</w:t>
      </w:r>
      <w:r>
        <w:rPr>
          <w:rFonts w:hint="eastAsia" w:eastAsia="仿宋_GB2312"/>
          <w:kern w:val="0"/>
          <w:sz w:val="32"/>
          <w:szCs w:val="32"/>
        </w:rPr>
        <w:t>雨敞坪镇周灿奇烟花爆竹店</w:t>
      </w:r>
    </w:p>
    <w:p>
      <w:pPr>
        <w:widowControl/>
        <w:spacing w:line="600" w:lineRule="exact"/>
        <w:ind w:firstLine="640" w:firstLineChars="200"/>
        <w:rPr>
          <w:rFonts w:eastAsia="仿宋_GB2312"/>
          <w:kern w:val="0"/>
          <w:sz w:val="32"/>
          <w:szCs w:val="32"/>
        </w:rPr>
      </w:pPr>
      <w:r>
        <w:rPr>
          <w:rFonts w:eastAsia="仿宋_GB2312"/>
          <w:kern w:val="0"/>
          <w:sz w:val="32"/>
          <w:szCs w:val="32"/>
        </w:rPr>
        <w:t>2. 长沙市岳麓区</w:t>
      </w:r>
      <w:r>
        <w:rPr>
          <w:rFonts w:hint="eastAsia" w:eastAsia="仿宋_GB2312"/>
          <w:kern w:val="0"/>
          <w:sz w:val="32"/>
          <w:szCs w:val="32"/>
        </w:rPr>
        <w:t>雨敞坪镇夏爱群烟花鞭炮店</w:t>
      </w:r>
    </w:p>
    <w:p>
      <w:pPr>
        <w:widowControl/>
        <w:spacing w:line="600" w:lineRule="exact"/>
        <w:ind w:firstLine="640" w:firstLineChars="200"/>
        <w:rPr>
          <w:rFonts w:eastAsia="仿宋_GB2312"/>
          <w:kern w:val="0"/>
          <w:sz w:val="32"/>
          <w:szCs w:val="32"/>
        </w:rPr>
      </w:pPr>
      <w:r>
        <w:rPr>
          <w:rFonts w:eastAsia="仿宋_GB2312"/>
          <w:kern w:val="0"/>
          <w:sz w:val="32"/>
          <w:szCs w:val="32"/>
        </w:rPr>
        <w:t>3. 长沙市岳麓区</w:t>
      </w:r>
      <w:r>
        <w:rPr>
          <w:rFonts w:hint="eastAsia" w:eastAsia="仿宋_GB2312"/>
          <w:kern w:val="0"/>
          <w:sz w:val="32"/>
          <w:szCs w:val="32"/>
        </w:rPr>
        <w:t>雨敞坪镇刘聪烟花鞭炮店</w:t>
      </w:r>
    </w:p>
    <w:p>
      <w:pPr>
        <w:widowControl/>
        <w:spacing w:line="600" w:lineRule="exact"/>
        <w:ind w:firstLine="640" w:firstLineChars="200"/>
        <w:rPr>
          <w:rFonts w:eastAsia="仿宋_GB2312"/>
          <w:kern w:val="0"/>
          <w:sz w:val="32"/>
          <w:szCs w:val="32"/>
        </w:rPr>
      </w:pPr>
      <w:r>
        <w:rPr>
          <w:rFonts w:eastAsia="仿宋_GB2312"/>
          <w:kern w:val="0"/>
          <w:sz w:val="32"/>
          <w:szCs w:val="32"/>
        </w:rPr>
        <w:t>4. 长沙市岳麓区</w:t>
      </w:r>
      <w:r>
        <w:rPr>
          <w:rFonts w:hint="eastAsia" w:eastAsia="仿宋_GB2312"/>
          <w:kern w:val="0"/>
          <w:sz w:val="32"/>
          <w:szCs w:val="32"/>
        </w:rPr>
        <w:t>宏轩永胜烟花鞭炮店</w:t>
      </w:r>
    </w:p>
    <w:p>
      <w:pPr>
        <w:widowControl/>
        <w:spacing w:line="600" w:lineRule="exact"/>
        <w:ind w:firstLine="640" w:firstLineChars="200"/>
        <w:rPr>
          <w:rFonts w:eastAsia="仿宋_GB2312"/>
          <w:kern w:val="0"/>
          <w:sz w:val="32"/>
          <w:szCs w:val="32"/>
        </w:rPr>
      </w:pPr>
      <w:r>
        <w:rPr>
          <w:rFonts w:eastAsia="仿宋_GB2312"/>
          <w:kern w:val="0"/>
          <w:sz w:val="32"/>
          <w:szCs w:val="32"/>
        </w:rPr>
        <w:t>5. 长沙市岳麓区</w:t>
      </w:r>
      <w:r>
        <w:rPr>
          <w:rFonts w:hint="eastAsia" w:eastAsia="仿宋_GB2312"/>
          <w:kern w:val="0"/>
          <w:sz w:val="32"/>
          <w:szCs w:val="32"/>
        </w:rPr>
        <w:t>雨敞坪镇周金华烟花爆竹店</w:t>
      </w:r>
    </w:p>
    <w:p>
      <w:pPr>
        <w:widowControl/>
        <w:spacing w:line="600" w:lineRule="exact"/>
        <w:ind w:firstLine="640" w:firstLineChars="200"/>
        <w:rPr>
          <w:rFonts w:eastAsia="仿宋_GB2312"/>
          <w:kern w:val="0"/>
          <w:sz w:val="32"/>
          <w:szCs w:val="32"/>
        </w:rPr>
      </w:pPr>
      <w:r>
        <w:rPr>
          <w:rFonts w:eastAsia="仿宋_GB2312"/>
          <w:kern w:val="0"/>
          <w:sz w:val="32"/>
          <w:szCs w:val="32"/>
        </w:rPr>
        <w:t>6. 长沙市岳麓区</w:t>
      </w:r>
      <w:r>
        <w:rPr>
          <w:rFonts w:hint="eastAsia" w:eastAsia="仿宋_GB2312"/>
          <w:kern w:val="0"/>
          <w:sz w:val="32"/>
          <w:szCs w:val="32"/>
        </w:rPr>
        <w:t>雨敞坪镇李干泉烟花爆竹店</w:t>
      </w:r>
    </w:p>
    <w:p>
      <w:pPr>
        <w:widowControl/>
        <w:spacing w:line="600" w:lineRule="exact"/>
        <w:ind w:firstLine="640" w:firstLineChars="200"/>
        <w:rPr>
          <w:rFonts w:eastAsia="仿宋_GB2312"/>
          <w:kern w:val="0"/>
          <w:sz w:val="32"/>
          <w:szCs w:val="32"/>
        </w:rPr>
      </w:pPr>
      <w:r>
        <w:rPr>
          <w:rFonts w:eastAsia="仿宋_GB2312"/>
          <w:kern w:val="0"/>
          <w:sz w:val="32"/>
          <w:szCs w:val="32"/>
        </w:rPr>
        <w:t>7. 长沙市岳麓区</w:t>
      </w:r>
      <w:r>
        <w:rPr>
          <w:rFonts w:hint="eastAsia" w:eastAsia="仿宋_GB2312"/>
          <w:kern w:val="0"/>
          <w:sz w:val="32"/>
          <w:szCs w:val="32"/>
        </w:rPr>
        <w:t>雨敞坪镇帮政烟花爆竹店</w:t>
      </w:r>
    </w:p>
    <w:p>
      <w:pPr>
        <w:widowControl/>
        <w:spacing w:line="600" w:lineRule="exact"/>
        <w:ind w:firstLine="640" w:firstLineChars="200"/>
        <w:rPr>
          <w:rFonts w:eastAsia="仿宋_GB2312"/>
          <w:kern w:val="0"/>
          <w:sz w:val="32"/>
          <w:szCs w:val="32"/>
        </w:rPr>
      </w:pPr>
      <w:r>
        <w:rPr>
          <w:rFonts w:eastAsia="仿宋_GB2312"/>
          <w:kern w:val="0"/>
          <w:sz w:val="32"/>
          <w:szCs w:val="32"/>
        </w:rPr>
        <w:t>8. 长沙市岳麓区</w:t>
      </w:r>
      <w:r>
        <w:rPr>
          <w:rFonts w:hint="eastAsia" w:eastAsia="仿宋_GB2312"/>
          <w:kern w:val="0"/>
          <w:sz w:val="32"/>
          <w:szCs w:val="32"/>
        </w:rPr>
        <w:t>雨敞坪镇文章军食杂店</w:t>
      </w:r>
    </w:p>
    <w:p>
      <w:pPr>
        <w:widowControl/>
        <w:spacing w:line="600" w:lineRule="exact"/>
        <w:ind w:firstLine="640" w:firstLineChars="200"/>
        <w:rPr>
          <w:rFonts w:eastAsia="仿宋_GB2312"/>
          <w:kern w:val="0"/>
          <w:sz w:val="32"/>
          <w:szCs w:val="32"/>
        </w:rPr>
      </w:pPr>
      <w:r>
        <w:rPr>
          <w:rFonts w:eastAsia="仿宋_GB2312"/>
          <w:kern w:val="0"/>
          <w:sz w:val="32"/>
          <w:szCs w:val="32"/>
        </w:rPr>
        <w:t>9. 长沙市岳麓区</w:t>
      </w:r>
      <w:r>
        <w:rPr>
          <w:rFonts w:hint="eastAsia" w:eastAsia="仿宋_GB2312"/>
          <w:kern w:val="0"/>
          <w:sz w:val="32"/>
          <w:szCs w:val="32"/>
        </w:rPr>
        <w:t>雨敞坪镇刘爱民烟花鞭炮店</w:t>
      </w:r>
    </w:p>
    <w:p>
      <w:pPr>
        <w:widowControl/>
        <w:spacing w:line="600" w:lineRule="exact"/>
        <w:ind w:firstLine="640" w:firstLineChars="200"/>
        <w:rPr>
          <w:rFonts w:eastAsia="仿宋_GB2312"/>
          <w:kern w:val="0"/>
          <w:sz w:val="32"/>
          <w:szCs w:val="32"/>
        </w:rPr>
      </w:pPr>
      <w:r>
        <w:rPr>
          <w:rFonts w:eastAsia="仿宋_GB2312"/>
          <w:kern w:val="0"/>
          <w:sz w:val="32"/>
          <w:szCs w:val="32"/>
        </w:rPr>
        <w:t>10.长沙市岳麓区</w:t>
      </w:r>
      <w:r>
        <w:rPr>
          <w:rFonts w:hint="eastAsia" w:eastAsia="仿宋_GB2312"/>
          <w:kern w:val="0"/>
          <w:sz w:val="32"/>
          <w:szCs w:val="32"/>
        </w:rPr>
        <w:t>雨敞坪镇赖建良烟花鞭炮店</w:t>
      </w:r>
    </w:p>
    <w:p>
      <w:pPr>
        <w:widowControl/>
        <w:spacing w:line="600" w:lineRule="exact"/>
        <w:ind w:firstLine="640" w:firstLineChars="200"/>
        <w:rPr>
          <w:rFonts w:eastAsia="仿宋_GB2312"/>
          <w:kern w:val="0"/>
          <w:sz w:val="32"/>
          <w:szCs w:val="32"/>
        </w:rPr>
      </w:pPr>
      <w:r>
        <w:rPr>
          <w:rFonts w:eastAsia="仿宋_GB2312"/>
          <w:kern w:val="0"/>
          <w:sz w:val="32"/>
          <w:szCs w:val="32"/>
        </w:rPr>
        <w:t>11.长沙市岳麓区</w:t>
      </w:r>
      <w:r>
        <w:rPr>
          <w:rFonts w:hint="eastAsia" w:eastAsia="仿宋_GB2312"/>
          <w:kern w:val="0"/>
          <w:sz w:val="32"/>
          <w:szCs w:val="32"/>
        </w:rPr>
        <w:t>雨敞坪镇宁亚烟花爆竹店</w:t>
      </w:r>
    </w:p>
    <w:p>
      <w:pPr>
        <w:widowControl/>
        <w:spacing w:line="600" w:lineRule="exact"/>
        <w:ind w:firstLine="640" w:firstLineChars="200"/>
        <w:rPr>
          <w:rFonts w:eastAsia="仿宋_GB2312"/>
          <w:kern w:val="0"/>
          <w:sz w:val="32"/>
          <w:szCs w:val="32"/>
        </w:rPr>
      </w:pPr>
      <w:r>
        <w:rPr>
          <w:rFonts w:eastAsia="仿宋_GB2312"/>
          <w:kern w:val="0"/>
          <w:sz w:val="32"/>
          <w:szCs w:val="32"/>
        </w:rPr>
        <w:t>12.长沙市岳麓区</w:t>
      </w:r>
      <w:r>
        <w:rPr>
          <w:rFonts w:hint="eastAsia" w:eastAsia="仿宋_GB2312"/>
          <w:kern w:val="0"/>
          <w:sz w:val="32"/>
          <w:szCs w:val="32"/>
        </w:rPr>
        <w:t>雨敞坪镇谭标军烟花鞭炮店</w:t>
      </w:r>
    </w:p>
    <w:p>
      <w:pPr>
        <w:widowControl/>
        <w:spacing w:line="600" w:lineRule="exact"/>
        <w:ind w:firstLine="640" w:firstLineChars="200"/>
        <w:rPr>
          <w:rFonts w:eastAsia="仿宋_GB2312"/>
          <w:kern w:val="0"/>
          <w:sz w:val="32"/>
          <w:szCs w:val="32"/>
        </w:rPr>
      </w:pPr>
      <w:r>
        <w:rPr>
          <w:rFonts w:eastAsia="仿宋_GB2312"/>
          <w:kern w:val="0"/>
          <w:sz w:val="32"/>
          <w:szCs w:val="32"/>
        </w:rPr>
        <w:t>13.长沙市岳麓区</w:t>
      </w:r>
      <w:r>
        <w:rPr>
          <w:rFonts w:hint="eastAsia" w:eastAsia="仿宋_GB2312"/>
          <w:kern w:val="0"/>
          <w:sz w:val="32"/>
          <w:szCs w:val="32"/>
        </w:rPr>
        <w:t>雨敞坪镇刘伟烟花鞭炮店</w:t>
      </w:r>
    </w:p>
    <w:p>
      <w:pPr>
        <w:widowControl/>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4</w:t>
      </w:r>
      <w:r>
        <w:rPr>
          <w:rFonts w:eastAsia="仿宋_GB2312"/>
          <w:kern w:val="0"/>
          <w:sz w:val="32"/>
          <w:szCs w:val="32"/>
        </w:rPr>
        <w:t>.</w:t>
      </w:r>
      <w:r>
        <w:rPr>
          <w:rFonts w:hint="eastAsia" w:eastAsia="仿宋_GB2312"/>
          <w:kern w:val="0"/>
          <w:sz w:val="32"/>
          <w:szCs w:val="32"/>
        </w:rPr>
        <w:t>长沙市岳麓区雨敞坪镇做强烟花鞭炮店</w:t>
      </w:r>
    </w:p>
    <w:p>
      <w:pPr>
        <w:widowControl/>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5</w:t>
      </w:r>
      <w:r>
        <w:rPr>
          <w:rFonts w:eastAsia="仿宋_GB2312"/>
          <w:kern w:val="0"/>
          <w:sz w:val="32"/>
          <w:szCs w:val="32"/>
        </w:rPr>
        <w:t>.</w:t>
      </w:r>
      <w:r>
        <w:rPr>
          <w:rFonts w:hint="eastAsia" w:eastAsia="仿宋_GB2312"/>
          <w:kern w:val="0"/>
          <w:sz w:val="32"/>
          <w:szCs w:val="32"/>
        </w:rPr>
        <w:t>长沙市岳麓区雨敞坪镇吴光伟烟花爆竹店</w:t>
      </w:r>
    </w:p>
    <w:p>
      <w:pPr>
        <w:widowControl/>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6</w:t>
      </w:r>
      <w:r>
        <w:rPr>
          <w:rFonts w:eastAsia="仿宋_GB2312"/>
          <w:kern w:val="0"/>
          <w:sz w:val="32"/>
          <w:szCs w:val="32"/>
        </w:rPr>
        <w:t>.</w:t>
      </w:r>
      <w:r>
        <w:rPr>
          <w:rFonts w:hint="eastAsia" w:eastAsia="仿宋_GB2312"/>
          <w:kern w:val="0"/>
          <w:sz w:val="32"/>
          <w:szCs w:val="32"/>
        </w:rPr>
        <w:t>长沙市岳麓区雨敞坪镇月清烟花爆竹店</w:t>
      </w:r>
    </w:p>
    <w:p>
      <w:pPr>
        <w:widowControl/>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7</w:t>
      </w:r>
      <w:r>
        <w:rPr>
          <w:rFonts w:eastAsia="仿宋_GB2312"/>
          <w:kern w:val="0"/>
          <w:sz w:val="32"/>
          <w:szCs w:val="32"/>
        </w:rPr>
        <w:t>.</w:t>
      </w:r>
      <w:r>
        <w:rPr>
          <w:rFonts w:hint="eastAsia" w:eastAsia="仿宋_GB2312"/>
          <w:kern w:val="0"/>
          <w:sz w:val="32"/>
          <w:szCs w:val="32"/>
        </w:rPr>
        <w:t>长沙市岳麓区雨敞坪镇良香烟花爆竹店</w:t>
      </w:r>
    </w:p>
    <w:p>
      <w:pPr>
        <w:widowControl/>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8</w:t>
      </w:r>
      <w:r>
        <w:rPr>
          <w:rFonts w:eastAsia="仿宋_GB2312"/>
          <w:kern w:val="0"/>
          <w:sz w:val="32"/>
          <w:szCs w:val="32"/>
        </w:rPr>
        <w:t>.</w:t>
      </w:r>
      <w:r>
        <w:rPr>
          <w:rFonts w:hint="eastAsia" w:eastAsia="仿宋_GB2312"/>
          <w:kern w:val="0"/>
          <w:sz w:val="32"/>
          <w:szCs w:val="32"/>
        </w:rPr>
        <w:t>长沙市岳麓区雨敞坪镇刘让其烟花爆竹店</w:t>
      </w:r>
    </w:p>
    <w:p>
      <w:pPr>
        <w:widowControl/>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9</w:t>
      </w:r>
      <w:r>
        <w:rPr>
          <w:rFonts w:eastAsia="仿宋_GB2312"/>
          <w:kern w:val="0"/>
          <w:sz w:val="32"/>
          <w:szCs w:val="32"/>
        </w:rPr>
        <w:t>.</w:t>
      </w:r>
      <w:r>
        <w:rPr>
          <w:rFonts w:hint="eastAsia" w:eastAsia="仿宋_GB2312"/>
          <w:kern w:val="0"/>
          <w:sz w:val="32"/>
          <w:szCs w:val="32"/>
        </w:rPr>
        <w:t>长沙市岳麓区雨敞坪镇曹浪烟花爆竹店</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20</w:t>
      </w:r>
      <w:r>
        <w:rPr>
          <w:rFonts w:eastAsia="仿宋_GB2312"/>
          <w:kern w:val="0"/>
          <w:sz w:val="32"/>
          <w:szCs w:val="32"/>
        </w:rPr>
        <w:t>.</w:t>
      </w:r>
      <w:r>
        <w:rPr>
          <w:rFonts w:hint="eastAsia" w:eastAsia="仿宋_GB2312"/>
          <w:kern w:val="0"/>
          <w:sz w:val="32"/>
          <w:szCs w:val="32"/>
        </w:rPr>
        <w:t>长沙市岳麓区雨敞坪镇刘宗武烟花爆竹店</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21</w:t>
      </w:r>
      <w:r>
        <w:rPr>
          <w:rFonts w:eastAsia="仿宋_GB2312"/>
          <w:kern w:val="0"/>
          <w:sz w:val="32"/>
          <w:szCs w:val="32"/>
        </w:rPr>
        <w:t>.</w:t>
      </w:r>
      <w:r>
        <w:rPr>
          <w:rFonts w:hint="eastAsia" w:eastAsia="仿宋_GB2312"/>
          <w:kern w:val="0"/>
          <w:sz w:val="32"/>
          <w:szCs w:val="32"/>
        </w:rPr>
        <w:t>长沙市岳麓区雨敞坪镇赞哥烟花爆竹经营部</w:t>
      </w:r>
    </w:p>
    <w:p>
      <w:pPr>
        <w:widowControl/>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七、危险化学品监管对象（1家）</w:t>
      </w:r>
    </w:p>
    <w:p>
      <w:pPr>
        <w:ind w:firstLine="640" w:firstLineChars="200"/>
      </w:pPr>
      <w:r>
        <w:rPr>
          <w:rFonts w:hint="eastAsia" w:ascii="仿宋_GB2312" w:hAnsi="黑体" w:eastAsia="仿宋_GB2312"/>
          <w:kern w:val="0"/>
          <w:sz w:val="32"/>
          <w:szCs w:val="32"/>
        </w:rPr>
        <w:t>长沙市岳麓区雨敞坪镇加油站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6FA50432"/>
    <w:rsid w:val="6D7D096D"/>
    <w:rsid w:val="6FA50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qFormat/>
    <w:uiPriority w:val="0"/>
    <w:pPr>
      <w:ind w:left="106"/>
    </w:pPr>
    <w:rPr>
      <w:rFonts w:ascii="仿宋_GB2312" w:hAnsi="仿宋_GB2312" w:eastAsia="仿宋_GB2312" w:cs="仿宋_GB2312"/>
      <w:sz w:val="32"/>
      <w:szCs w:val="32"/>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2021-04-26T01:38:00Z</dcterms:created>
  <dc:creator>Administrator</dc:creator>
  <cp:lastModifiedBy>Administrator</cp:lastModifiedBy>
  <dcterms:modified xsi:type="dcterms:W3CDTF">2023-10-17T04:07:53Z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1D75ADC5EE9149469DB8743B2BD1DCB1</vt:lpwstr>
  </property>
</Properties>
</file>