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仿宋_GB2312" w:eastAsia="仿宋_GB2312"/>
          <w:kern w:val="0"/>
          <w:sz w:val="32"/>
          <w:szCs w:val="32"/>
        </w:rPr>
      </w:pPr>
      <w:r>
        <w:rPr>
          <w:rFonts w:hint="eastAsia" w:ascii="仿宋_GB2312" w:eastAsia="仿宋_GB2312"/>
          <w:kern w:val="0"/>
          <w:sz w:val="32"/>
          <w:szCs w:val="32"/>
        </w:rPr>
        <w:t>附件3</w:t>
      </w:r>
    </w:p>
    <w:p>
      <w:pPr>
        <w:pStyle w:val="2"/>
        <w:spacing w:line="580" w:lineRule="exact"/>
        <w:ind w:left="108" w:firstLine="663"/>
        <w:rPr>
          <w:lang w:val="en-US"/>
        </w:rPr>
      </w:pPr>
    </w:p>
    <w:p>
      <w:pPr>
        <w:snapToGrid w:val="0"/>
        <w:spacing w:line="580" w:lineRule="exact"/>
        <w:jc w:val="center"/>
        <w:rPr>
          <w:rFonts w:eastAsia="方正小标宋_GBK"/>
          <w:sz w:val="44"/>
          <w:szCs w:val="44"/>
        </w:rPr>
      </w:pPr>
      <w:r>
        <w:rPr>
          <w:rFonts w:eastAsia="方正小标宋_GBK"/>
          <w:sz w:val="44"/>
          <w:szCs w:val="44"/>
        </w:rPr>
        <w:t>2021年特种设备检查工作计划</w:t>
      </w:r>
    </w:p>
    <w:p>
      <w:pPr>
        <w:snapToGrid w:val="0"/>
        <w:spacing w:line="580" w:lineRule="exact"/>
        <w:rPr>
          <w:rFonts w:eastAsia="仿宋_GB2312"/>
          <w:b/>
          <w:bCs/>
          <w:sz w:val="44"/>
          <w:szCs w:val="44"/>
        </w:rPr>
      </w:pPr>
    </w:p>
    <w:p>
      <w:pPr>
        <w:snapToGrid w:val="0"/>
        <w:spacing w:line="580" w:lineRule="exact"/>
        <w:ind w:firstLine="640" w:firstLineChars="200"/>
        <w:rPr>
          <w:rFonts w:eastAsia="仿宋_GB2312"/>
          <w:sz w:val="32"/>
          <w:szCs w:val="32"/>
        </w:rPr>
      </w:pPr>
      <w:r>
        <w:rPr>
          <w:rFonts w:eastAsia="仿宋_GB2312"/>
          <w:sz w:val="32"/>
          <w:szCs w:val="32"/>
        </w:rPr>
        <w:t>为有效遏制特种设备安全生产事故发生，有效落实特种设备安全监管责任，持续营造全街特种设备安全生产氛围，根据《中华人民共和国安全生产法》《中华人民共和国特种设备安全法》《中华人民共和国行政许可法》《中华人民共和国行政处罚法》《特种设备现场安全监督检查规则》《市场监管行政处罚程序暂行规定》的有关要求，结合实际，制定本辖区2021年特种设备监督检查工作计划。</w:t>
      </w:r>
    </w:p>
    <w:p>
      <w:pPr>
        <w:adjustRightInd w:val="0"/>
        <w:snapToGrid w:val="0"/>
        <w:spacing w:line="580" w:lineRule="exact"/>
        <w:ind w:firstLine="640" w:firstLineChars="200"/>
        <w:rPr>
          <w:rFonts w:eastAsia="黑体"/>
          <w:kern w:val="0"/>
          <w:sz w:val="32"/>
          <w:szCs w:val="32"/>
        </w:rPr>
      </w:pPr>
      <w:r>
        <w:rPr>
          <w:rFonts w:eastAsia="黑体"/>
          <w:kern w:val="0"/>
          <w:sz w:val="32"/>
          <w:szCs w:val="32"/>
        </w:rPr>
        <w:t>一、指导思想</w:t>
      </w:r>
    </w:p>
    <w:p>
      <w:pPr>
        <w:snapToGrid w:val="0"/>
        <w:spacing w:line="580" w:lineRule="exact"/>
        <w:ind w:firstLine="640" w:firstLineChars="200"/>
        <w:rPr>
          <w:rFonts w:eastAsia="仿宋_GB2312"/>
          <w:sz w:val="32"/>
          <w:szCs w:val="32"/>
        </w:rPr>
      </w:pPr>
      <w:r>
        <w:rPr>
          <w:rFonts w:eastAsia="仿宋_GB2312"/>
          <w:sz w:val="32"/>
          <w:szCs w:val="32"/>
        </w:rPr>
        <w:t>坚持以习近平新时代中国特</w:t>
      </w:r>
      <w:r>
        <w:rPr>
          <w:rFonts w:hint="eastAsia" w:eastAsia="仿宋_GB2312"/>
          <w:sz w:val="32"/>
          <w:szCs w:val="32"/>
          <w:lang w:eastAsia="zh-CN"/>
        </w:rPr>
        <w:t>色</w:t>
      </w:r>
      <w:r>
        <w:rPr>
          <w:rFonts w:eastAsia="仿宋_GB2312"/>
          <w:sz w:val="32"/>
          <w:szCs w:val="32"/>
        </w:rPr>
        <w:t>社会主义思想为指导，深入贯彻落实党的十九大精神，牢固树立安全发展理念，全面贯彻国务院《中共中央国务院关于推进安全生产领域改革发展的意见》，认真落实全区安全生产工作会议和全区市场监管工作会议精神，根据辖区实际情况，按照“有计划、规范化”的原则，强化和落实企业主体责任，重点抓好特种设备生产使用环节的安全监管，继续深入开展打击安全生产非法违法行为，增强市场监管部门安全生产执法工作的有效性和权威性，确保辖区安全生产形势的持续稳定。</w:t>
      </w:r>
    </w:p>
    <w:p>
      <w:pPr>
        <w:adjustRightInd w:val="0"/>
        <w:snapToGrid w:val="0"/>
        <w:spacing w:line="580" w:lineRule="exact"/>
        <w:ind w:firstLine="640" w:firstLineChars="200"/>
        <w:rPr>
          <w:rFonts w:eastAsia="黑体"/>
          <w:kern w:val="0"/>
          <w:sz w:val="32"/>
          <w:szCs w:val="32"/>
        </w:rPr>
      </w:pPr>
      <w:r>
        <w:rPr>
          <w:rFonts w:eastAsia="黑体"/>
          <w:kern w:val="0"/>
          <w:sz w:val="32"/>
          <w:szCs w:val="32"/>
        </w:rPr>
        <w:t>二、工作目标及主要任务</w:t>
      </w:r>
    </w:p>
    <w:p>
      <w:pPr>
        <w:snapToGrid w:val="0"/>
        <w:spacing w:line="600" w:lineRule="exact"/>
        <w:ind w:firstLine="640" w:firstLineChars="200"/>
        <w:rPr>
          <w:rFonts w:eastAsia="仿宋_GB2312"/>
          <w:sz w:val="32"/>
          <w:szCs w:val="32"/>
        </w:rPr>
      </w:pPr>
      <w:r>
        <w:rPr>
          <w:rFonts w:hint="eastAsia" w:ascii="楷体_GB2312" w:eastAsia="楷体_GB2312"/>
          <w:sz w:val="32"/>
          <w:szCs w:val="32"/>
        </w:rPr>
        <w:t>（一）工作目标：</w:t>
      </w:r>
      <w:r>
        <w:rPr>
          <w:rFonts w:eastAsia="仿宋_GB2312"/>
          <w:sz w:val="32"/>
          <w:szCs w:val="32"/>
        </w:rPr>
        <w:t>通过强化特种设备安全生产监督检查、专项整治、宣传教育培训和对违法违规行为的查处，全面压实特种设备领域企业安全主体责任，不断提升其安全保障能力和安全管理水平，有效防范和遏制事故的发生。</w:t>
      </w:r>
    </w:p>
    <w:p>
      <w:pPr>
        <w:snapToGrid w:val="0"/>
        <w:spacing w:line="600" w:lineRule="exact"/>
        <w:ind w:firstLine="640" w:firstLineChars="200"/>
        <w:rPr>
          <w:rFonts w:eastAsia="仿宋_GB2312"/>
          <w:sz w:val="32"/>
          <w:szCs w:val="32"/>
        </w:rPr>
      </w:pPr>
      <w:r>
        <w:rPr>
          <w:rFonts w:hint="eastAsia" w:ascii="楷体_GB2312" w:eastAsia="楷体_GB2312"/>
          <w:sz w:val="32"/>
          <w:szCs w:val="32"/>
        </w:rPr>
        <w:t>（二）主要任务：</w:t>
      </w:r>
      <w:r>
        <w:rPr>
          <w:rFonts w:eastAsia="仿宋_GB2312"/>
          <w:sz w:val="32"/>
          <w:szCs w:val="32"/>
        </w:rPr>
        <w:t>督促企业落实安全隐患排查治理；严厉打击非法违法生产、经营、使用行为；抓好专项整治；修订完善特种设备应急预案；大力开展宣传教育；着力加强基础工作，提高安全水平。</w:t>
      </w:r>
    </w:p>
    <w:p>
      <w:pPr>
        <w:adjustRightInd w:val="0"/>
        <w:snapToGrid w:val="0"/>
        <w:spacing w:line="600" w:lineRule="exact"/>
        <w:ind w:firstLine="640" w:firstLineChars="200"/>
        <w:rPr>
          <w:rFonts w:eastAsia="黑体"/>
          <w:kern w:val="0"/>
          <w:sz w:val="32"/>
          <w:szCs w:val="32"/>
        </w:rPr>
      </w:pPr>
      <w:r>
        <w:rPr>
          <w:rFonts w:eastAsia="黑体"/>
          <w:kern w:val="0"/>
          <w:sz w:val="32"/>
          <w:szCs w:val="32"/>
        </w:rPr>
        <w:t>三、监管执法方式、对象、内容及频次</w:t>
      </w:r>
    </w:p>
    <w:p>
      <w:pPr>
        <w:snapToGrid w:val="0"/>
        <w:spacing w:line="600" w:lineRule="exact"/>
        <w:ind w:firstLine="640" w:firstLineChars="200"/>
        <w:rPr>
          <w:rFonts w:eastAsia="仿宋_GB2312"/>
          <w:sz w:val="32"/>
          <w:szCs w:val="32"/>
        </w:rPr>
      </w:pPr>
      <w:r>
        <w:rPr>
          <w:rFonts w:hint="eastAsia" w:ascii="楷体_GB2312" w:eastAsia="楷体_GB2312"/>
          <w:sz w:val="32"/>
          <w:szCs w:val="32"/>
        </w:rPr>
        <w:t>（一）检查方式。</w:t>
      </w:r>
      <w:r>
        <w:rPr>
          <w:rFonts w:eastAsia="仿宋_GB2312"/>
          <w:sz w:val="32"/>
          <w:szCs w:val="32"/>
        </w:rPr>
        <w:t>监管执法采取“四不两直”的方式进行，即不发通知、不打招呼、不听汇报、不用陪同和接待、直插基层、直奔现场。</w:t>
      </w:r>
    </w:p>
    <w:p>
      <w:pPr>
        <w:snapToGrid w:val="0"/>
        <w:spacing w:line="600" w:lineRule="exact"/>
        <w:ind w:firstLine="640" w:firstLineChars="200"/>
        <w:rPr>
          <w:rFonts w:eastAsia="仿宋_GB2312"/>
          <w:sz w:val="32"/>
          <w:szCs w:val="32"/>
        </w:rPr>
      </w:pPr>
      <w:r>
        <w:rPr>
          <w:rFonts w:hint="eastAsia" w:ascii="楷体_GB2312" w:eastAsia="楷体_GB2312"/>
          <w:sz w:val="32"/>
          <w:szCs w:val="32"/>
        </w:rPr>
        <w:t>（二）检查对象。</w:t>
      </w:r>
      <w:r>
        <w:rPr>
          <w:rFonts w:eastAsia="仿宋_GB2312"/>
          <w:sz w:val="32"/>
          <w:szCs w:val="32"/>
        </w:rPr>
        <w:t>依法对本辖区内所有监督检查对象直接进行检查。</w:t>
      </w:r>
    </w:p>
    <w:p>
      <w:pPr>
        <w:snapToGrid w:val="0"/>
        <w:spacing w:line="600" w:lineRule="exact"/>
        <w:ind w:firstLine="640" w:firstLineChars="200"/>
        <w:rPr>
          <w:rFonts w:eastAsia="仿宋_GB2312"/>
          <w:sz w:val="32"/>
          <w:szCs w:val="32"/>
        </w:rPr>
      </w:pPr>
      <w:r>
        <w:rPr>
          <w:rFonts w:hint="eastAsia" w:ascii="楷体_GB2312" w:eastAsia="楷体_GB2312"/>
          <w:sz w:val="32"/>
          <w:szCs w:val="32"/>
        </w:rPr>
        <w:t>（三）检查内容及频次。</w:t>
      </w:r>
      <w:r>
        <w:rPr>
          <w:rFonts w:eastAsia="仿宋_GB2312"/>
          <w:sz w:val="32"/>
          <w:szCs w:val="32"/>
        </w:rPr>
        <w:t>根据有关规定，重点检查《特种设备现场安全监督检查规则》第六条、第八条、第十一条规定的单位和场所。</w:t>
      </w:r>
    </w:p>
    <w:p>
      <w:pPr>
        <w:snapToGrid w:val="0"/>
        <w:spacing w:line="600" w:lineRule="exact"/>
        <w:ind w:firstLine="640" w:firstLineChars="200"/>
        <w:rPr>
          <w:rFonts w:eastAsia="仿宋_GB2312"/>
          <w:sz w:val="32"/>
          <w:szCs w:val="32"/>
        </w:rPr>
      </w:pPr>
      <w:r>
        <w:rPr>
          <w:rFonts w:eastAsia="仿宋_GB2312"/>
          <w:sz w:val="32"/>
          <w:szCs w:val="32"/>
        </w:rPr>
        <w:t>对纳入监督检查工作计划的特种设备使用单位每年开展1次以上监督检查工作。</w:t>
      </w:r>
    </w:p>
    <w:p>
      <w:pPr>
        <w:adjustRightInd w:val="0"/>
        <w:snapToGrid w:val="0"/>
        <w:spacing w:line="600" w:lineRule="exact"/>
        <w:ind w:firstLine="640" w:firstLineChars="200"/>
        <w:rPr>
          <w:rFonts w:eastAsia="黑体"/>
          <w:kern w:val="0"/>
          <w:sz w:val="32"/>
          <w:szCs w:val="32"/>
        </w:rPr>
      </w:pPr>
      <w:r>
        <w:rPr>
          <w:rFonts w:eastAsia="黑体"/>
          <w:kern w:val="0"/>
          <w:sz w:val="32"/>
          <w:szCs w:val="32"/>
        </w:rPr>
        <w:t>四、特种设备监督检查内容</w:t>
      </w:r>
    </w:p>
    <w:p>
      <w:pPr>
        <w:snapToGrid w:val="0"/>
        <w:spacing w:line="600" w:lineRule="exact"/>
        <w:ind w:firstLine="640" w:firstLineChars="200"/>
        <w:rPr>
          <w:rFonts w:eastAsia="仿宋_GB2312"/>
          <w:sz w:val="32"/>
          <w:szCs w:val="32"/>
        </w:rPr>
      </w:pPr>
      <w:r>
        <w:rPr>
          <w:rFonts w:eastAsia="仿宋_GB2312"/>
          <w:sz w:val="32"/>
          <w:szCs w:val="32"/>
        </w:rPr>
        <w:t>（一）对特种设备使用单位（含气瓶、移动式压力容器充装单位，下同）实施安全监督检查。</w:t>
      </w:r>
    </w:p>
    <w:p>
      <w:pPr>
        <w:snapToGrid w:val="0"/>
        <w:spacing w:line="600" w:lineRule="exact"/>
        <w:ind w:firstLine="640" w:firstLineChars="200"/>
        <w:rPr>
          <w:rFonts w:eastAsia="仿宋_GB2312"/>
          <w:sz w:val="32"/>
          <w:szCs w:val="32"/>
        </w:rPr>
      </w:pPr>
      <w:r>
        <w:rPr>
          <w:rFonts w:eastAsia="仿宋_GB2312"/>
          <w:sz w:val="32"/>
          <w:szCs w:val="32"/>
        </w:rPr>
        <w:t>（二）特种设备现场安全监督检查分为日常监督检查和专项监督检查。特种设备现场安全监督检查实行抽查方式。</w:t>
      </w:r>
    </w:p>
    <w:p>
      <w:pPr>
        <w:snapToGrid w:val="0"/>
        <w:spacing w:line="600" w:lineRule="exact"/>
        <w:ind w:firstLine="640" w:firstLineChars="200"/>
        <w:rPr>
          <w:rFonts w:eastAsia="仿宋_GB2312"/>
          <w:sz w:val="32"/>
          <w:szCs w:val="32"/>
        </w:rPr>
      </w:pPr>
      <w:r>
        <w:rPr>
          <w:rFonts w:eastAsia="仿宋_GB2312"/>
          <w:sz w:val="32"/>
          <w:szCs w:val="32"/>
        </w:rPr>
        <w:t>（三）日常监督检查的检查项目和内容按照《特种设备使用单位现场安全监督检查项目表》规定执行。对在用特种设备安全状况的检查实行抽查方式，对一个使用单位，至少抽查1台（套）在用特种设备。</w:t>
      </w:r>
    </w:p>
    <w:p>
      <w:pPr>
        <w:snapToGrid w:val="0"/>
        <w:spacing w:line="600" w:lineRule="exact"/>
        <w:ind w:firstLine="640" w:firstLineChars="200"/>
        <w:rPr>
          <w:rFonts w:eastAsia="仿宋_GB2312"/>
          <w:sz w:val="32"/>
          <w:szCs w:val="32"/>
        </w:rPr>
      </w:pPr>
      <w:r>
        <w:rPr>
          <w:rFonts w:eastAsia="仿宋_GB2312"/>
          <w:sz w:val="32"/>
          <w:szCs w:val="32"/>
        </w:rPr>
        <w:t>（四）专项监督检查的项目和内容按照以下要求确定：</w:t>
      </w:r>
    </w:p>
    <w:p>
      <w:pPr>
        <w:snapToGrid w:val="0"/>
        <w:spacing w:line="600" w:lineRule="exact"/>
        <w:ind w:firstLine="640" w:firstLineChars="200"/>
        <w:rPr>
          <w:rFonts w:eastAsia="仿宋_GB2312"/>
          <w:sz w:val="32"/>
          <w:szCs w:val="32"/>
        </w:rPr>
      </w:pPr>
      <w:r>
        <w:rPr>
          <w:rFonts w:eastAsia="仿宋_GB2312"/>
          <w:sz w:val="32"/>
          <w:szCs w:val="32"/>
        </w:rPr>
        <w:t>（1）重点时段监督检查和专项整治监督检查，检查设备的种类和数量、检查项目和内容，应当按照相应部署的具体要求执行，如无专门明确的，参照日常监督检查的检查项目和内容执行。</w:t>
      </w:r>
    </w:p>
    <w:p>
      <w:pPr>
        <w:snapToGrid w:val="0"/>
        <w:spacing w:line="600" w:lineRule="exact"/>
        <w:ind w:firstLine="640" w:firstLineChars="200"/>
        <w:rPr>
          <w:rFonts w:eastAsia="仿宋_GB2312"/>
          <w:sz w:val="32"/>
          <w:szCs w:val="32"/>
        </w:rPr>
      </w:pPr>
      <w:r>
        <w:rPr>
          <w:rFonts w:eastAsia="仿宋_GB2312"/>
          <w:sz w:val="32"/>
          <w:szCs w:val="32"/>
        </w:rPr>
        <w:t>（2）对检验检测单位报告的重大问题或针对投诉举报开展的专项监督检查的检查项目和内容，由实施检查的监管部门根据报告和投诉举报反映的情况确定。</w:t>
      </w:r>
    </w:p>
    <w:p>
      <w:pPr>
        <w:snapToGrid w:val="0"/>
        <w:spacing w:line="600" w:lineRule="exact"/>
        <w:ind w:firstLine="640" w:firstLineChars="200"/>
        <w:rPr>
          <w:rFonts w:eastAsia="黑体"/>
          <w:kern w:val="0"/>
          <w:sz w:val="32"/>
          <w:szCs w:val="32"/>
        </w:rPr>
      </w:pPr>
      <w:r>
        <w:rPr>
          <w:rFonts w:eastAsia="黑体"/>
          <w:kern w:val="0"/>
          <w:sz w:val="32"/>
          <w:szCs w:val="32"/>
        </w:rPr>
        <w:t>五、保障措施与要求</w:t>
      </w:r>
    </w:p>
    <w:p>
      <w:pPr>
        <w:adjustRightInd w:val="0"/>
        <w:snapToGrid w:val="0"/>
        <w:spacing w:line="600" w:lineRule="exact"/>
        <w:ind w:firstLine="640" w:firstLineChars="200"/>
        <w:rPr>
          <w:rFonts w:eastAsia="仿宋_GB2312"/>
          <w:kern w:val="0"/>
          <w:sz w:val="32"/>
          <w:szCs w:val="32"/>
        </w:rPr>
      </w:pPr>
      <w:r>
        <w:rPr>
          <w:rFonts w:hint="eastAsia" w:ascii="楷体_GB2312" w:eastAsia="楷体_GB2312"/>
          <w:sz w:val="32"/>
          <w:szCs w:val="32"/>
        </w:rPr>
        <w:t>（一）</w:t>
      </w:r>
      <w:r>
        <w:rPr>
          <w:rFonts w:hint="eastAsia" w:ascii="楷体_GB2312" w:eastAsia="楷体_GB2312"/>
          <w:bCs/>
          <w:color w:val="000000"/>
          <w:sz w:val="32"/>
          <w:szCs w:val="32"/>
        </w:rPr>
        <w:t>组织领导。</w:t>
      </w:r>
      <w:r>
        <w:rPr>
          <w:rFonts w:eastAsia="仿宋_GB2312"/>
          <w:kern w:val="0"/>
          <w:sz w:val="32"/>
          <w:szCs w:val="32"/>
        </w:rPr>
        <w:t>依照年度监督检查计划开展监督检查活动，是贯彻执行《安全生产法》、《</w:t>
      </w:r>
      <w:r>
        <w:rPr>
          <w:rFonts w:eastAsia="仿宋_GB2312"/>
          <w:sz w:val="32"/>
          <w:szCs w:val="32"/>
        </w:rPr>
        <w:t>湖南省生产经营单位安全生产主体责任规定</w:t>
      </w:r>
      <w:r>
        <w:rPr>
          <w:rFonts w:eastAsia="仿宋_GB2312"/>
          <w:kern w:val="0"/>
          <w:sz w:val="32"/>
          <w:szCs w:val="32"/>
        </w:rPr>
        <w:t>》，明晰监督检查责任的有效举措。要加强组织领导，提前做好年度监督检查计划实施的各项准备工作，妥善处理好日常工作事项，不能以人员、装备、时间不足为由影响监督检查计划的实施，维护监督检查计划的严肃性。</w:t>
      </w:r>
    </w:p>
    <w:p>
      <w:pPr>
        <w:adjustRightInd w:val="0"/>
        <w:snapToGrid w:val="0"/>
        <w:spacing w:line="600" w:lineRule="exact"/>
        <w:ind w:firstLine="640" w:firstLineChars="200"/>
        <w:rPr>
          <w:rFonts w:eastAsia="仿宋_GB2312"/>
          <w:kern w:val="0"/>
          <w:sz w:val="32"/>
          <w:szCs w:val="32"/>
        </w:rPr>
      </w:pPr>
      <w:r>
        <w:rPr>
          <w:rFonts w:hint="eastAsia" w:ascii="楷体_GB2312" w:eastAsia="楷体_GB2312"/>
          <w:sz w:val="32"/>
          <w:szCs w:val="32"/>
        </w:rPr>
        <w:t>（二）严格落实。</w:t>
      </w:r>
      <w:r>
        <w:rPr>
          <w:rFonts w:eastAsia="仿宋_GB2312"/>
          <w:sz w:val="32"/>
          <w:szCs w:val="32"/>
        </w:rPr>
        <w:t>要充分做好检查计划实施的各项准备，保证检查计划落到实处。</w:t>
      </w:r>
    </w:p>
    <w:p>
      <w:pPr>
        <w:snapToGrid w:val="0"/>
        <w:spacing w:line="600" w:lineRule="exact"/>
        <w:ind w:firstLine="800" w:firstLineChars="250"/>
        <w:rPr>
          <w:rFonts w:eastAsia="仿宋_GB2312"/>
          <w:sz w:val="32"/>
          <w:szCs w:val="32"/>
        </w:rPr>
      </w:pPr>
      <w:bookmarkStart w:id="0" w:name="_GoBack"/>
      <w:bookmarkEnd w:id="0"/>
      <w:r>
        <w:rPr>
          <w:rFonts w:hint="eastAsia" w:ascii="楷体_GB2312" w:eastAsia="楷体_GB2312"/>
          <w:sz w:val="32"/>
          <w:szCs w:val="32"/>
        </w:rPr>
        <w:t>（三）及时反馈。</w:t>
      </w:r>
      <w:r>
        <w:rPr>
          <w:rFonts w:eastAsia="仿宋_GB2312"/>
          <w:sz w:val="32"/>
          <w:szCs w:val="32"/>
        </w:rPr>
        <w:t>及时向</w:t>
      </w:r>
      <w:r>
        <w:rPr>
          <w:rFonts w:hint="eastAsia" w:eastAsia="仿宋_GB2312"/>
          <w:sz w:val="32"/>
          <w:szCs w:val="32"/>
        </w:rPr>
        <w:t>雨敞坪镇人民政府</w:t>
      </w:r>
      <w:r>
        <w:rPr>
          <w:rFonts w:eastAsia="仿宋_GB2312"/>
          <w:sz w:val="32"/>
          <w:szCs w:val="32"/>
        </w:rPr>
        <w:t>和区局反馈工作信息，对检查过程中发现的严重违法行为必须立案查处，对不依法履行职责或违反法定权限和程序不作为、乱作为的，追究相关人员的法律责任。</w:t>
      </w:r>
    </w:p>
    <w:p>
      <w:pPr>
        <w:snapToGrid w:val="0"/>
        <w:spacing w:line="200" w:lineRule="exact"/>
        <w:jc w:val="center"/>
        <w:rPr>
          <w:rFonts w:hint="eastAsia" w:ascii="仿宋_GB2312" w:hAnsi="方正小标宋_GBK" w:eastAsia="仿宋_GB2312" w:cs="方正小标宋_GBK"/>
          <w:bCs/>
          <w:spacing w:val="-17"/>
          <w:sz w:val="32"/>
          <w:szCs w:val="32"/>
        </w:rPr>
      </w:pPr>
    </w:p>
    <w:p>
      <w:pPr>
        <w:snapToGrid w:val="0"/>
        <w:spacing w:line="600" w:lineRule="exact"/>
        <w:jc w:val="center"/>
        <w:rPr>
          <w:rFonts w:hint="eastAsia" w:ascii="仿宋_GB2312" w:hAnsi="方正小标宋_GBK" w:eastAsia="仿宋_GB2312" w:cs="方正小标宋_GBK"/>
          <w:bCs/>
          <w:spacing w:val="-17"/>
          <w:sz w:val="32"/>
          <w:szCs w:val="32"/>
        </w:rPr>
      </w:pPr>
      <w:r>
        <w:rPr>
          <w:rFonts w:hint="eastAsia" w:ascii="仿宋_GB2312" w:hAnsi="方正小标宋_GBK" w:eastAsia="仿宋_GB2312" w:cs="方正小标宋_GBK"/>
          <w:bCs/>
          <w:spacing w:val="-17"/>
          <w:sz w:val="32"/>
          <w:szCs w:val="32"/>
        </w:rPr>
        <w:t>雨敞坪镇2021年特种设备监督检查名单（2家）</w:t>
      </w:r>
    </w:p>
    <w:tbl>
      <w:tblPr>
        <w:tblStyle w:val="4"/>
        <w:tblW w:w="52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3346"/>
        <w:gridCol w:w="309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jc w:val="center"/>
        </w:trPr>
        <w:tc>
          <w:tcPr>
            <w:tcW w:w="512" w:type="pct"/>
            <w:vAlign w:val="center"/>
          </w:tcPr>
          <w:p>
            <w:pPr>
              <w:snapToGrid w:val="0"/>
              <w:spacing w:line="420" w:lineRule="exact"/>
              <w:jc w:val="center"/>
              <w:rPr>
                <w:rFonts w:eastAsia="黑体"/>
                <w:sz w:val="24"/>
              </w:rPr>
            </w:pPr>
            <w:r>
              <w:rPr>
                <w:rFonts w:eastAsia="黑体"/>
                <w:sz w:val="24"/>
              </w:rPr>
              <w:t>序号</w:t>
            </w:r>
          </w:p>
        </w:tc>
        <w:tc>
          <w:tcPr>
            <w:tcW w:w="1869" w:type="pct"/>
            <w:vAlign w:val="center"/>
          </w:tcPr>
          <w:p>
            <w:pPr>
              <w:snapToGrid w:val="0"/>
              <w:spacing w:line="420" w:lineRule="exact"/>
              <w:jc w:val="center"/>
              <w:rPr>
                <w:rFonts w:eastAsia="黑体"/>
                <w:sz w:val="24"/>
              </w:rPr>
            </w:pPr>
            <w:r>
              <w:rPr>
                <w:rFonts w:eastAsia="黑体"/>
                <w:sz w:val="24"/>
              </w:rPr>
              <w:t>单位名称</w:t>
            </w:r>
          </w:p>
        </w:tc>
        <w:tc>
          <w:tcPr>
            <w:tcW w:w="1731" w:type="pct"/>
            <w:vAlign w:val="center"/>
          </w:tcPr>
          <w:p>
            <w:pPr>
              <w:snapToGrid w:val="0"/>
              <w:spacing w:line="420" w:lineRule="exact"/>
              <w:jc w:val="center"/>
              <w:rPr>
                <w:rFonts w:eastAsia="黑体"/>
                <w:sz w:val="24"/>
              </w:rPr>
            </w:pPr>
            <w:r>
              <w:rPr>
                <w:rFonts w:eastAsia="黑体"/>
                <w:sz w:val="24"/>
              </w:rPr>
              <w:t>设备类型</w:t>
            </w:r>
          </w:p>
        </w:tc>
        <w:tc>
          <w:tcPr>
            <w:tcW w:w="889" w:type="pct"/>
            <w:vAlign w:val="center"/>
          </w:tcPr>
          <w:p>
            <w:pPr>
              <w:snapToGrid w:val="0"/>
              <w:spacing w:line="420" w:lineRule="exact"/>
              <w:jc w:val="center"/>
              <w:rPr>
                <w:rFonts w:eastAsia="黑体"/>
                <w:sz w:val="24"/>
              </w:rPr>
            </w:pPr>
            <w:r>
              <w:rPr>
                <w:rFonts w:eastAsia="黑体"/>
                <w:sz w:val="24"/>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2" w:type="pct"/>
            <w:vAlign w:val="center"/>
          </w:tcPr>
          <w:p>
            <w:pPr>
              <w:snapToGrid w:val="0"/>
              <w:spacing w:line="420" w:lineRule="exact"/>
              <w:jc w:val="center"/>
              <w:rPr>
                <w:rFonts w:eastAsia="仿宋_GB2312"/>
                <w:sz w:val="24"/>
              </w:rPr>
            </w:pPr>
            <w:r>
              <w:rPr>
                <w:rFonts w:eastAsia="仿宋_GB2312"/>
                <w:sz w:val="24"/>
              </w:rPr>
              <w:t>1</w:t>
            </w:r>
          </w:p>
        </w:tc>
        <w:tc>
          <w:tcPr>
            <w:tcW w:w="1869" w:type="pct"/>
            <w:vAlign w:val="center"/>
          </w:tcPr>
          <w:p>
            <w:pPr>
              <w:snapToGrid w:val="0"/>
              <w:spacing w:line="420" w:lineRule="exact"/>
              <w:jc w:val="center"/>
              <w:rPr>
                <w:rFonts w:eastAsia="仿宋_GB2312"/>
                <w:sz w:val="24"/>
              </w:rPr>
            </w:pPr>
            <w:r>
              <w:rPr>
                <w:rFonts w:eastAsia="仿宋_GB2312"/>
                <w:sz w:val="24"/>
              </w:rPr>
              <w:t>长沙</w:t>
            </w:r>
            <w:r>
              <w:rPr>
                <w:rFonts w:hint="eastAsia" w:eastAsia="仿宋_GB2312"/>
                <w:sz w:val="24"/>
              </w:rPr>
              <w:t>市岳麓区雨敞坪镇卫生院</w:t>
            </w:r>
          </w:p>
        </w:tc>
        <w:tc>
          <w:tcPr>
            <w:tcW w:w="1731" w:type="pct"/>
            <w:vAlign w:val="center"/>
          </w:tcPr>
          <w:p>
            <w:pPr>
              <w:snapToGrid w:val="0"/>
              <w:spacing w:line="420" w:lineRule="exact"/>
              <w:jc w:val="center"/>
              <w:rPr>
                <w:rFonts w:eastAsia="仿宋_GB2312"/>
                <w:sz w:val="24"/>
              </w:rPr>
            </w:pPr>
            <w:r>
              <w:rPr>
                <w:rFonts w:hint="eastAsia" w:eastAsia="仿宋_GB2312"/>
                <w:sz w:val="24"/>
              </w:rPr>
              <w:t>电梯</w:t>
            </w:r>
          </w:p>
        </w:tc>
        <w:tc>
          <w:tcPr>
            <w:tcW w:w="889" w:type="pct"/>
            <w:vAlign w:val="center"/>
          </w:tcPr>
          <w:p>
            <w:pPr>
              <w:snapToGrid w:val="0"/>
              <w:spacing w:line="420" w:lineRule="exact"/>
              <w:jc w:val="center"/>
              <w:rPr>
                <w:rFonts w:eastAsia="仿宋_GB2312"/>
                <w:sz w:val="24"/>
              </w:rPr>
            </w:pPr>
            <w:r>
              <w:rPr>
                <w:rFonts w:eastAsia="仿宋_GB2312"/>
                <w:sz w:val="24"/>
              </w:rPr>
              <w:t>4月份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2" w:type="pct"/>
            <w:vAlign w:val="center"/>
          </w:tcPr>
          <w:p>
            <w:pPr>
              <w:snapToGrid w:val="0"/>
              <w:spacing w:line="420" w:lineRule="exact"/>
              <w:jc w:val="center"/>
              <w:rPr>
                <w:rFonts w:eastAsia="仿宋_GB2312"/>
                <w:sz w:val="24"/>
              </w:rPr>
            </w:pPr>
            <w:r>
              <w:rPr>
                <w:rFonts w:eastAsia="仿宋_GB2312"/>
                <w:sz w:val="24"/>
              </w:rPr>
              <w:t>2</w:t>
            </w:r>
          </w:p>
        </w:tc>
        <w:tc>
          <w:tcPr>
            <w:tcW w:w="1869" w:type="pct"/>
            <w:vAlign w:val="center"/>
          </w:tcPr>
          <w:p>
            <w:pPr>
              <w:snapToGrid w:val="0"/>
              <w:spacing w:line="420" w:lineRule="exact"/>
              <w:jc w:val="center"/>
              <w:rPr>
                <w:rFonts w:eastAsia="仿宋_GB2312"/>
                <w:sz w:val="24"/>
              </w:rPr>
            </w:pPr>
            <w:r>
              <w:rPr>
                <w:rFonts w:eastAsia="仿宋_GB2312"/>
                <w:sz w:val="24"/>
              </w:rPr>
              <w:t>长沙</w:t>
            </w:r>
            <w:r>
              <w:rPr>
                <w:rFonts w:hint="eastAsia" w:eastAsia="仿宋_GB2312"/>
                <w:sz w:val="24"/>
              </w:rPr>
              <w:t>市岳麓区雨敞坪镇敬老院</w:t>
            </w:r>
          </w:p>
        </w:tc>
        <w:tc>
          <w:tcPr>
            <w:tcW w:w="1731" w:type="pct"/>
            <w:vAlign w:val="center"/>
          </w:tcPr>
          <w:p>
            <w:pPr>
              <w:snapToGrid w:val="0"/>
              <w:spacing w:line="420" w:lineRule="exact"/>
              <w:jc w:val="center"/>
              <w:rPr>
                <w:rFonts w:eastAsia="仿宋_GB2312"/>
                <w:sz w:val="24"/>
              </w:rPr>
            </w:pPr>
            <w:r>
              <w:rPr>
                <w:rFonts w:hint="eastAsia" w:eastAsia="仿宋_GB2312"/>
                <w:sz w:val="24"/>
              </w:rPr>
              <w:t>电梯</w:t>
            </w:r>
          </w:p>
        </w:tc>
        <w:tc>
          <w:tcPr>
            <w:tcW w:w="889" w:type="pct"/>
            <w:vAlign w:val="center"/>
          </w:tcPr>
          <w:p>
            <w:pPr>
              <w:snapToGrid w:val="0"/>
              <w:spacing w:line="420" w:lineRule="exact"/>
              <w:jc w:val="center"/>
              <w:rPr>
                <w:rFonts w:eastAsia="仿宋_GB2312"/>
                <w:sz w:val="24"/>
              </w:rPr>
            </w:pPr>
            <w:r>
              <w:rPr>
                <w:rFonts w:eastAsia="仿宋_GB2312"/>
                <w:sz w:val="24"/>
              </w:rPr>
              <w:t>5月份</w:t>
            </w:r>
          </w:p>
        </w:tc>
      </w:tr>
    </w:tbl>
    <w:p>
      <w:pPr>
        <w:adjustRightInd w:val="0"/>
        <w:snapToGrid w:val="0"/>
        <w:spacing w:line="600" w:lineRule="exact"/>
        <w:rPr>
          <w:rFonts w:eastAsia="黑体"/>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867B5"/>
    <w:rsid w:val="19A867B5"/>
    <w:rsid w:val="40D0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qFormat/>
    <w:uiPriority w:val="0"/>
    <w:pPr>
      <w:ind w:left="106"/>
    </w:pPr>
    <w:rPr>
      <w:rFonts w:ascii="仿宋_GB2312" w:hAnsi="仿宋_GB2312" w:eastAsia="仿宋_GB2312" w:cs="仿宋_GB2312"/>
      <w:sz w:val="32"/>
      <w:szCs w:val="32"/>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2021-04-26T01:39:00Z</dcterms:created>
  <dc:creator>Administrator</dc:creator>
  <cp:lastModifiedBy>Administrator</cp:lastModifiedBy>
  <dcterms:modified xsi:type="dcterms:W3CDTF">2021-04-27T02:40:58Z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023C1F1B50494D79B36CFD1BDAED1CA7</vt:lpwstr>
  </property>
</Properties>
</file>