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  <w:t>附件5：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4"/>
          <w:szCs w:val="40"/>
          <w:lang w:val="en-US" w:eastAsia="zh-CN"/>
        </w:rPr>
      </w:pPr>
      <w:bookmarkStart w:id="1" w:name="_GoBack"/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4"/>
          <w:szCs w:val="40"/>
          <w:lang w:val="en-US" w:eastAsia="zh-CN"/>
        </w:rPr>
        <w:t>天顶街道物流仓储领域专项整治百日攻坚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4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4"/>
          <w:szCs w:val="40"/>
          <w:lang w:val="en-US" w:eastAsia="zh-CN"/>
        </w:rPr>
        <w:t>工  作  方  案</w:t>
      </w:r>
    </w:p>
    <w:bookmarkEnd w:id="1"/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41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为深刻吸取“6・5”天心区南塘物流园火灾事故教训，进一步排查、整治物流仓储安全隐患，规范物流仓储安全生产管理，加大违法违规行为打击力度，遏制物流仓储安全事故发生。根据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上级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领导指示批示精神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区安全生产专项整治百日攻坚工作方案等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要求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自即日起在全街范围内开展物流仓储安全隐患大排查大整治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</w:pPr>
      <w:bookmarkStart w:id="0" w:name="bookmark13"/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  <w:t>一</w:t>
      </w:r>
      <w:bookmarkEnd w:id="0"/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  <w:t>、工作目标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通过大排查大整治，全面排查物流仓储安全隐患，大力推进隐患整治，全力消除重大隐患，严厉打击物流仓储违法违规行为，严格落实企业主体责任，坚决遏制物流仓储事故发生，确保人民群众生命财产安全。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  <w:t>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为使本次专项整治活动得到进一步加强和顺利开展，成立物流仓储领域专项整治百日攻坚工作领导小组。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牵头领导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王  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成员单位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仿宋"/>
          <w:b w:val="0"/>
          <w:bCs/>
          <w:color w:val="auto"/>
          <w:kern w:val="0"/>
          <w:sz w:val="32"/>
          <w:szCs w:val="32"/>
          <w:lang w:val="en-US" w:eastAsia="zh-CN" w:bidi="ar-SA"/>
        </w:rPr>
        <w:t>公共服务办、公共安全办、天顶派出所、天顶市场监督管理所、各社区（村）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排查整治重点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  <w:t>及分工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按照以属地监管为主，并遵循管行业必须管安全、管业务必须管安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全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、管生产经营必须管安全的原则，各物流仓储企业为主体，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街道各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部门联动，全方位开展大排查大整治工作。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/>
        </w:rPr>
        <w:t>1.各社区（村）。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做好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本社区（村）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内商贸流通、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物流企业、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物流仓储大排查大整治工作统筹协调工作，重点排查物流仓储企业消防安全责任制不落实，消防安全管理不到位，电气线路老化、疏散通道不畅、消防设施损坏、存在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zh-CN" w:eastAsia="zh-CN" w:bidi="zh-CN"/>
        </w:rPr>
        <w:t>“三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合一”场所、仓储货物堆放杂乱、不按要求和规定存储货物、装卸搬运操作不规范、特种设备人员未持证上岗、冷库操作不规范、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zh-CN" w:eastAsia="zh-CN" w:bidi="zh-CN"/>
        </w:rPr>
        <w:t>“一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会三卡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zh-CN" w:eastAsia="zh-CN" w:bidi="zh-CN"/>
        </w:rPr>
        <w:t>”不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落实等问题并督促其整改到位。负责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督导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商贸流通、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物流企业落实安全生产主体责任，指导企业开展安全隐患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大排查大整治工作。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/>
        </w:rPr>
        <w:t>2.各物流仓储企业。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负责落实本单位仓储安全隐患排查整治工作，落实安全生产主体责任，制定隐患清单、整改措施清单和责任清单，发现隐患立行立改。加大安全教育和培训，加大安全设施设备投入，提升安全生产管理水平。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具体</w:t>
      </w: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</w:rPr>
        <w:t>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/>
        </w:rPr>
        <w:t>1.组织实施（9月1日至12月31日）。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社区（村）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、企业按照工作分工全面开展排查、整治，制定隐患、问题和责任清单，全力整治突出问题，严厉依法查处商贸流通、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物流企业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安全生产违法违规行为，从根本上消除事故隐患。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bCs/>
          <w:color w:val="auto"/>
          <w:kern w:val="0"/>
          <w:sz w:val="32"/>
          <w:szCs w:val="32"/>
          <w:lang w:val="en-US" w:eastAsia="zh-CN"/>
        </w:rPr>
        <w:t>2.巩固提升（长期坚持）。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社区（村）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、商贸流通、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物流企业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要深入总结大排查大整治成果，完善安全生产制度和预案，建立安全生产台账，加大安全生产宣传和培训力度，建立健全安全风险管控、隐患排查治理及联防联控长效机制，不断巩固专项整治成果，长期保持良好的安全风险管控水平，防止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五、及时报送资料</w:t>
      </w:r>
    </w:p>
    <w:p>
      <w:pPr>
        <w:pStyle w:val="9"/>
        <w:keepNext w:val="0"/>
        <w:keepLines w:val="0"/>
        <w:pageBreakBefore w:val="0"/>
        <w:widowControl w:val="0"/>
        <w:tabs>
          <w:tab w:val="left" w:pos="14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请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eastAsia="zh-CN"/>
        </w:rPr>
        <w:t>社区（村）</w:t>
      </w: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t>于9月28日17:00前将物流仓储场所消防安全排查整治登记表（见附件）报至街道公共服务办公室（联系人：彭彬，联系电话：15874857267，邮箱760372854@qq.com）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 w:firstLine="620"/>
        <w:jc w:val="both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 w:bidi="en-US"/>
        </w:r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 w:bidi="en-US"/>
        </w:rPr>
        <w:t>附件5-1：物流仓储场所消防安全排查整治情况登记表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lef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lef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sectPr>
          <w:footerReference r:id="rId5" w:type="default"/>
          <w:footerReference r:id="rId6" w:type="even"/>
          <w:pgSz w:w="11900" w:h="16838"/>
          <w:pgMar w:top="2098" w:right="1417" w:bottom="1984" w:left="1644" w:header="850" w:footer="992" w:gutter="0"/>
          <w:pgNumType w:fmt="numberInDash"/>
          <w:cols w:space="0" w:num="1"/>
          <w:rtlGutter w:val="0"/>
          <w:docGrid w:linePitch="360" w:charSpace="0"/>
        </w:sectPr>
      </w:pPr>
      <w:r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br w:type="page"/>
      </w:r>
    </w:p>
    <w:p>
      <w:pPr>
        <w:spacing w:line="560" w:lineRule="exact"/>
        <w:rPr>
          <w:rFonts w:hint="eastAsia" w:ascii="Times New Roman" w:hAnsi="Times New Roman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bCs/>
          <w:color w:val="auto"/>
          <w:kern w:val="0"/>
          <w:sz w:val="28"/>
          <w:szCs w:val="28"/>
          <w:lang w:val="en-US" w:eastAsia="zh-CN"/>
        </w:rPr>
        <w:t>:5-1</w:t>
      </w:r>
    </w:p>
    <w:tbl>
      <w:tblPr>
        <w:tblStyle w:val="7"/>
        <w:tblW w:w="153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59"/>
        <w:gridCol w:w="2113"/>
        <w:gridCol w:w="1176"/>
        <w:gridCol w:w="1134"/>
        <w:gridCol w:w="1418"/>
        <w:gridCol w:w="1559"/>
        <w:gridCol w:w="1559"/>
        <w:gridCol w:w="1560"/>
        <w:gridCol w:w="1251"/>
        <w:gridCol w:w="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5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小标宋简体" w:cs="Times New Roman"/>
                <w:b w:val="0"/>
                <w:bCs/>
                <w:color w:val="auto"/>
                <w:kern w:val="0"/>
                <w:sz w:val="44"/>
                <w:szCs w:val="40"/>
                <w:lang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/>
                <w:color w:val="auto"/>
                <w:kern w:val="0"/>
                <w:sz w:val="44"/>
                <w:szCs w:val="40"/>
                <w:lang w:eastAsia="zh-CN"/>
              </w:rPr>
              <w:t>物流仓储场所消防安全排查整治情况登记表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570" w:lineRule="exact"/>
              <w:ind w:left="0" w:leftChars="0"/>
              <w:jc w:val="both"/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auto"/>
                <w:kern w:val="0"/>
                <w:sz w:val="32"/>
                <w:szCs w:val="32"/>
                <w:lang w:eastAsia="zh-CN"/>
              </w:rPr>
              <w:t xml:space="preserve">   填报单位：                          填报人： 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序号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检查单位名称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地址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（㎡）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消防安全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责任人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发现问题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整改措施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整改时限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是否为违法</w:t>
            </w: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经营场所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/>
                <w:color w:val="auto"/>
                <w:szCs w:val="21"/>
              </w:rPr>
            </w:pP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70" w:lineRule="exact"/>
        <w:ind w:left="0" w:leftChars="0"/>
        <w:jc w:val="right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lang w:val="en-US" w:eastAsia="zh-CN"/>
        </w:rPr>
        <w:sectPr>
          <w:pgSz w:w="16838" w:h="11900" w:orient="landscape"/>
          <w:pgMar w:top="1644" w:right="2098" w:bottom="1417" w:left="1984" w:header="850" w:footer="992" w:gutter="0"/>
          <w:paperSrc/>
          <w:pgNumType w:fmt="numberInDash"/>
          <w:cols w:space="0" w:num="1"/>
          <w:rtlGutter w:val="0"/>
          <w:docGrid w:linePitch="360" w:charSpace="0"/>
        </w:sectPr>
      </w:pPr>
    </w:p>
    <w:p/>
    <w:sectPr>
      <w:pgSz w:w="16838" w:h="11900" w:orient="landscape"/>
      <w:pgMar w:top="1644" w:right="2098" w:bottom="1417" w:left="1984" w:header="850" w:footer="992" w:gutter="0"/>
      <w:paperSrc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33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33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1199515</wp:posOffset>
              </wp:positionH>
              <wp:positionV relativeFrom="page">
                <wp:posOffset>9679305</wp:posOffset>
              </wp:positionV>
              <wp:extent cx="534670" cy="11874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67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  <w:ind w:firstLine="0"/>
                          </w:pPr>
                          <w:r>
                            <w:t>—6—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94.45pt;margin-top:762.15pt;height:9.35pt;width:42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98fn3YAAAADQEAAA8AAAAAAAAAAQAgAAAAIgAAAGRycy9kb3ducmV2LnhtbFBLAQIU&#10;ABQAAAAIAIdO4kCZTTYwugEAAJcDAAAOAAAAAAAAAAEAIAAAACc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0"/>
                    </w:pPr>
                    <w:r>
                      <w:t>—6—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672A3"/>
    <w:rsid w:val="32C67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annotation subject"/>
    <w:basedOn w:val="5"/>
    <w:next w:val="1"/>
    <w:qFormat/>
    <w:uiPriority w:val="0"/>
    <w:rPr>
      <w:b/>
      <w:bCs/>
    </w:rPr>
  </w:style>
  <w:style w:type="paragraph" w:styleId="5">
    <w:name w:val="annotation text"/>
    <w:basedOn w:val="1"/>
    <w:semiHidden/>
    <w:qFormat/>
    <w:uiPriority w:val="0"/>
    <w:pPr>
      <w:jc w:val="left"/>
    </w:pPr>
    <w:rPr>
      <w:kern w:val="0"/>
      <w:sz w:val="20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9">
    <w:name w:val="Body text|1"/>
    <w:basedOn w:val="1"/>
    <w:qFormat/>
    <w:uiPriority w:val="0"/>
    <w:pPr>
      <w:spacing w:line="43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ind w:firstLine="17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2021-10-18T06:42:00Z</dcterms:created>
  <dc:creator>思思</dc:creator>
  <cp:lastModifiedBy>思思</cp:lastModifiedBy>
  <dcterms:modified xsi:type="dcterms:W3CDTF">2021-10-18T06:56:18Z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7723A8D22A804FAC82294DE88FFF08FE</vt:lpwstr>
  </property>
</Properties>
</file>