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黑体"/>
          <w:b w:val="0"/>
          <w:bCs/>
          <w:color w:val="auto"/>
          <w:kern w:val="0"/>
          <w:sz w:val="28"/>
          <w:szCs w:val="28"/>
          <w:lang w:val="en-US" w:eastAsia="zh-CN"/>
        </w:rPr>
      </w:pPr>
      <w:r>
        <w:rPr>
          <w:rFonts w:hint="eastAsia" w:ascii="Times New Roman" w:hAnsi="Times New Roman" w:eastAsia="黑体" w:cs="黑体"/>
          <w:b w:val="0"/>
          <w:bCs/>
          <w:color w:val="auto"/>
          <w:kern w:val="0"/>
          <w:sz w:val="28"/>
          <w:szCs w:val="28"/>
          <w:lang w:val="en-US" w:eastAsia="zh-CN"/>
        </w:rPr>
        <w:t>附件2：</w:t>
      </w:r>
    </w:p>
    <w:p>
      <w:pPr>
        <w:spacing w:line="560" w:lineRule="exact"/>
        <w:jc w:val="center"/>
        <w:rPr>
          <w:rFonts w:hint="eastAsia" w:ascii="Times New Roman" w:hAnsi="Times New Roman" w:eastAsia="方正小标宋简体" w:cs="Times New Roman"/>
          <w:b w:val="0"/>
          <w:bCs/>
          <w:color w:val="auto"/>
          <w:kern w:val="0"/>
          <w:sz w:val="44"/>
          <w:szCs w:val="40"/>
        </w:rPr>
      </w:pPr>
      <w:bookmarkStart w:id="0" w:name="_GoBack"/>
      <w:r>
        <w:rPr>
          <w:rFonts w:hint="eastAsia" w:ascii="Times New Roman" w:hAnsi="Times New Roman" w:eastAsia="方正小标宋简体" w:cs="Times New Roman"/>
          <w:b w:val="0"/>
          <w:bCs/>
          <w:color w:val="auto"/>
          <w:kern w:val="0"/>
          <w:sz w:val="44"/>
          <w:szCs w:val="40"/>
        </w:rPr>
        <w:t>天顶街道消防领域专项整治百日攻坚工作方案</w:t>
      </w:r>
    </w:p>
    <w:bookmarkEnd w:id="0"/>
    <w:p>
      <w:pPr>
        <w:keepNext w:val="0"/>
        <w:keepLines w:val="0"/>
        <w:pageBreakBefore w:val="0"/>
        <w:kinsoku/>
        <w:wordWrap/>
        <w:overflowPunct/>
        <w:topLinePunct w:val="0"/>
        <w:autoSpaceDN/>
        <w:bidi w:val="0"/>
        <w:spacing w:line="570" w:lineRule="exact"/>
        <w:ind w:left="0" w:leftChars="0"/>
        <w:jc w:val="left"/>
        <w:rPr>
          <w:rFonts w:hint="eastAsia" w:ascii="Times New Roman" w:hAnsi="Times New Roman"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仿宋_GB2312" w:cs="仿宋_GB2312"/>
          <w:b w:val="0"/>
          <w:bCs/>
          <w:color w:val="auto"/>
          <w:sz w:val="32"/>
          <w:szCs w:val="32"/>
          <w:lang w:val="en-US" w:eastAsia="zh-CN"/>
        </w:rPr>
        <w:t>为深入推进消防安全专项整治三年行动，切实加强火灾防控工作，集中开展消防安全整治“百日攻坚”行动，以问题为导向，持续高压整治火灾隐患，严控火灾事故发生，最大限度减少火灾事故总量，确保全街消防安全形势持续稳定，特制定本方案。</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一、工作时间</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仿宋_GB2312" w:cs="仿宋_GB2312"/>
          <w:b w:val="0"/>
          <w:bCs/>
          <w:color w:val="auto"/>
          <w:sz w:val="32"/>
          <w:szCs w:val="32"/>
          <w:lang w:val="en-US" w:eastAsia="zh-CN"/>
        </w:rPr>
        <w:t>即日起至12月31日</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二、工作目标</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仿宋_GB2312" w:cs="仿宋_GB2312"/>
          <w:b w:val="0"/>
          <w:bCs/>
          <w:color w:val="auto"/>
          <w:sz w:val="32"/>
          <w:szCs w:val="32"/>
          <w:lang w:val="en-US" w:eastAsia="zh-CN"/>
        </w:rPr>
        <w:t>通过此次消防安全整治“百日攻坚”行动，进一步摸清全街消防安全基本情况，从根本上消除消防安全隐患，防止发生一般火灾事故，坚决杜绝较大火灾事故，提升我街消防安全整体水平，实现全街安全形势稳定向好。</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三、组织机构</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为使本次专项整治活动得到进一步加强和顺利开展，成立消防领域专项整治百日攻坚工作领导小组。</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eastAsia="zh-CN"/>
        </w:rPr>
      </w:pPr>
      <w:r>
        <w:rPr>
          <w:rFonts w:hint="eastAsia" w:ascii="Times New Roman" w:hAnsi="Times New Roman" w:eastAsia="仿宋_GB2312" w:cs="仿宋_GB2312"/>
          <w:b w:val="0"/>
          <w:bCs/>
          <w:color w:val="auto"/>
          <w:sz w:val="32"/>
          <w:szCs w:val="32"/>
          <w:lang w:eastAsia="zh-CN"/>
        </w:rPr>
        <w:t>牵头领导</w:t>
      </w:r>
      <w:r>
        <w:rPr>
          <w:rFonts w:hint="eastAsia" w:ascii="Times New Roman" w:hAnsi="Times New Roman" w:eastAsia="仿宋_GB2312" w:cs="仿宋_GB2312"/>
          <w:b w:val="0"/>
          <w:bCs/>
          <w:color w:val="auto"/>
          <w:sz w:val="32"/>
          <w:szCs w:val="32"/>
        </w:rPr>
        <w:t>：</w:t>
      </w:r>
      <w:r>
        <w:rPr>
          <w:rFonts w:hint="eastAsia" w:ascii="Times New Roman" w:hAnsi="Times New Roman" w:eastAsia="仿宋_GB2312" w:cs="仿宋_GB2312"/>
          <w:b w:val="0"/>
          <w:bCs/>
          <w:color w:val="auto"/>
          <w:sz w:val="32"/>
          <w:szCs w:val="32"/>
          <w:lang w:val="en-US" w:eastAsia="zh-CN"/>
        </w:rPr>
        <w:t>刘华维</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仿宋_GB2312" w:cs="仿宋_GB2312"/>
          <w:b w:val="0"/>
          <w:bCs/>
          <w:color w:val="auto"/>
          <w:sz w:val="32"/>
          <w:szCs w:val="32"/>
          <w:lang w:val="en-US" w:eastAsia="zh-CN"/>
        </w:rPr>
        <w:t>成员单位</w:t>
      </w:r>
      <w:r>
        <w:rPr>
          <w:rFonts w:hint="eastAsia" w:ascii="Times New Roman" w:hAnsi="Times New Roman" w:eastAsia="仿宋_GB2312" w:cs="仿宋_GB2312"/>
          <w:b w:val="0"/>
          <w:bCs/>
          <w:color w:val="auto"/>
          <w:sz w:val="32"/>
          <w:szCs w:val="32"/>
        </w:rPr>
        <w:t>：</w:t>
      </w:r>
      <w:r>
        <w:rPr>
          <w:rFonts w:hint="eastAsia" w:ascii="Times New Roman" w:hAnsi="Times New Roman" w:eastAsia="仿宋_GB2312" w:cs="仿宋"/>
          <w:b w:val="0"/>
          <w:bCs/>
          <w:color w:val="auto"/>
          <w:kern w:val="0"/>
          <w:sz w:val="32"/>
          <w:szCs w:val="32"/>
          <w:lang w:val="en-US" w:eastAsia="zh-CN" w:bidi="ar-SA"/>
        </w:rPr>
        <w:t>公共安全办、党政综合办、城市管理办、公共服务办、政务服务中心、网格化综合服务中心、天顶派出所、各社区（村）</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四、主要任务</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Times New Roman" w:hAnsi="Times New Roman" w:eastAsia="宋体" w:cs="宋体"/>
          <w:b w:val="0"/>
          <w:bCs/>
          <w:color w:val="auto"/>
          <w:kern w:val="0"/>
          <w:sz w:val="32"/>
          <w:szCs w:val="32"/>
          <w:lang w:val="en-US" w:eastAsia="zh-CN" w:bidi="ar-SA"/>
        </w:rPr>
      </w:pPr>
      <w:r>
        <w:rPr>
          <w:rFonts w:hint="eastAsia" w:ascii="Times New Roman" w:hAnsi="Times New Roman" w:eastAsia="宋体" w:cs="宋体"/>
          <w:b w:val="0"/>
          <w:bCs/>
          <w:color w:val="auto"/>
          <w:kern w:val="0"/>
          <w:sz w:val="32"/>
          <w:szCs w:val="32"/>
          <w:lang w:val="en-US" w:eastAsia="zh-CN" w:bidi="ar-SA"/>
        </w:rPr>
        <w:t>（一）专项整治小区楼栋消防安全，开展“六大”行动</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楷体" w:cs="楷体"/>
          <w:b w:val="0"/>
          <w:bCs/>
          <w:color w:val="auto"/>
          <w:sz w:val="32"/>
          <w:szCs w:val="32"/>
        </w:rPr>
        <w:t>1</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消防畅通行动。</w:t>
      </w:r>
      <w:r>
        <w:rPr>
          <w:rFonts w:hint="eastAsia" w:ascii="Times New Roman" w:hAnsi="Times New Roman" w:eastAsia="仿宋_GB2312" w:cs="仿宋_GB2312"/>
          <w:b w:val="0"/>
          <w:bCs/>
          <w:color w:val="auto"/>
          <w:sz w:val="32"/>
          <w:szCs w:val="32"/>
          <w:lang w:val="en-US" w:eastAsia="zh-CN"/>
        </w:rPr>
        <w:t>对堵塞、占用楼栋疏散通道和安全出口，堵塞消防车道，对搭建影响人员逃生和灭火救援的建筑物等行为进行排查整治。</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楷体" w:cs="楷体"/>
          <w:b w:val="0"/>
          <w:bCs/>
          <w:color w:val="auto"/>
          <w:sz w:val="32"/>
          <w:szCs w:val="32"/>
        </w:rPr>
        <w:t>2</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楼道清理行动。</w:t>
      </w:r>
      <w:r>
        <w:rPr>
          <w:rFonts w:hint="eastAsia" w:ascii="Times New Roman" w:hAnsi="Times New Roman" w:eastAsia="仿宋_GB2312" w:cs="仿宋_GB2312"/>
          <w:b w:val="0"/>
          <w:bCs/>
          <w:color w:val="auto"/>
          <w:sz w:val="32"/>
          <w:szCs w:val="32"/>
          <w:lang w:val="en-US" w:eastAsia="zh-CN"/>
        </w:rPr>
        <w:t>开展楼梯间、地下室和架空层电动车清理行动，督促物业公司或管理单位依法履行消防安全职责开展防火检查，确保楼梯间、地下室和架空层无电动车乱停乱放违规充电行为。</w:t>
      </w:r>
    </w:p>
    <w:p>
      <w:pPr>
        <w:pStyle w:val="9"/>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rPr>
          <w:rFonts w:hint="eastAsia" w:ascii="Times New Roman" w:hAnsi="Times New Roman" w:eastAsia="仿宋_GB2312" w:cs="仿宋_GB2312"/>
          <w:b w:val="0"/>
          <w:bCs/>
          <w:color w:val="auto"/>
          <w:kern w:val="2"/>
          <w:sz w:val="32"/>
          <w:szCs w:val="32"/>
          <w:lang w:val="en-US" w:eastAsia="zh-CN" w:bidi="ar-SA"/>
        </w:rPr>
      </w:pPr>
      <w:r>
        <w:rPr>
          <w:rFonts w:hint="eastAsia" w:ascii="Times New Roman" w:hAnsi="Times New Roman" w:eastAsia="楷体" w:cs="楷体"/>
          <w:b w:val="0"/>
          <w:bCs/>
          <w:color w:val="auto"/>
          <w:kern w:val="2"/>
          <w:sz w:val="32"/>
          <w:szCs w:val="32"/>
          <w:lang w:val="en-US" w:eastAsia="zh-CN" w:bidi="ar-SA"/>
        </w:rPr>
        <w:t>3.全民演练行动。</w:t>
      </w:r>
      <w:r>
        <w:rPr>
          <w:rFonts w:hint="eastAsia" w:ascii="Times New Roman" w:hAnsi="Times New Roman" w:eastAsia="仿宋_GB2312" w:cs="仿宋_GB2312"/>
          <w:b w:val="0"/>
          <w:bCs/>
          <w:color w:val="auto"/>
          <w:kern w:val="2"/>
          <w:sz w:val="32"/>
          <w:szCs w:val="32"/>
          <w:lang w:val="en-US" w:eastAsia="zh-CN" w:bidi="ar-SA"/>
        </w:rPr>
        <w:t>督促物业公司或管理单位开展消防应急演练活动，邀请小区居民广泛参与，确保居民能够熟练掌握消防自防自救常识。</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楷体" w:cs="楷体"/>
          <w:b w:val="0"/>
          <w:bCs/>
          <w:color w:val="auto"/>
          <w:sz w:val="32"/>
          <w:szCs w:val="32"/>
        </w:rPr>
        <w:t>4</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设施设备配齐行动。</w:t>
      </w:r>
      <w:r>
        <w:rPr>
          <w:rFonts w:hint="eastAsia" w:ascii="Times New Roman" w:hAnsi="Times New Roman" w:eastAsia="仿宋_GB2312" w:cs="仿宋_GB2312"/>
          <w:b w:val="0"/>
          <w:bCs/>
          <w:color w:val="auto"/>
          <w:sz w:val="32"/>
          <w:szCs w:val="32"/>
          <w:lang w:val="en-US" w:eastAsia="zh-CN"/>
        </w:rPr>
        <w:t>开展消防设施、安全标识维保行动，在小区每个楼栋明确并公示消防安全责任人;装备好室内、外消火栓、灭火器、疏散指示、安全出口标志、应急照明灯具、微型消防站、火灾自动报警系统、自动灭火系统、其他联动控制设备、消防控制室等消防设施设备，确保小区微型消防站、消防控制室人员配备到位，具备及时处置消除火灾隐患的能力。</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楷体" w:cs="楷体"/>
          <w:b w:val="0"/>
          <w:bCs/>
          <w:color w:val="auto"/>
          <w:sz w:val="32"/>
          <w:szCs w:val="32"/>
        </w:rPr>
        <w:t>5</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专电建设行动。</w:t>
      </w:r>
      <w:r>
        <w:rPr>
          <w:rFonts w:hint="eastAsia" w:ascii="Times New Roman" w:hAnsi="Times New Roman" w:eastAsia="仿宋_GB2312" w:cs="仿宋_GB2312"/>
          <w:b w:val="0"/>
          <w:bCs/>
          <w:color w:val="auto"/>
          <w:sz w:val="32"/>
          <w:szCs w:val="32"/>
          <w:lang w:val="en-US" w:eastAsia="zh-CN"/>
        </w:rPr>
        <w:t>辖区50%的住宅小区落实完成电动自行车集中管理，继续推动建设电动自行车集中充电场所和充电设施。</w:t>
      </w:r>
    </w:p>
    <w:p>
      <w:pPr>
        <w:pStyle w:val="9"/>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6</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宣传入户行动。</w:t>
      </w:r>
      <w:r>
        <w:rPr>
          <w:rFonts w:hint="eastAsia" w:ascii="Times New Roman" w:hAnsi="Times New Roman" w:eastAsia="仿宋_GB2312" w:cs="仿宋_GB2312"/>
          <w:b w:val="0"/>
          <w:bCs/>
          <w:color w:val="auto"/>
          <w:sz w:val="32"/>
          <w:szCs w:val="32"/>
          <w:lang w:val="en-US" w:eastAsia="zh-CN"/>
        </w:rPr>
        <w:t>充分利用小区广播、电子显示屏、业主微信群等宣传方式开展消防安全知识、事故警示案例宣传，促使居民重视消防安全，消除身边消防隐患。（责任部门：</w:t>
      </w:r>
      <w:r>
        <w:rPr>
          <w:rFonts w:hint="eastAsia" w:ascii="Times New Roman" w:hAnsi="Times New Roman" w:eastAsia="仿宋_GB2312" w:cs="仿宋_GB2312"/>
          <w:b w:val="0"/>
          <w:bCs/>
          <w:color w:val="auto"/>
          <w:sz w:val="32"/>
          <w:szCs w:val="32"/>
          <w:lang w:eastAsia="zh-CN"/>
        </w:rPr>
        <w:t>公共安全办</w:t>
      </w:r>
      <w:r>
        <w:rPr>
          <w:rFonts w:hint="eastAsia" w:ascii="Times New Roman" w:hAnsi="Times New Roman" w:eastAsia="仿宋_GB2312" w:cs="仿宋_GB2312"/>
          <w:b w:val="0"/>
          <w:bCs/>
          <w:color w:val="auto"/>
          <w:sz w:val="32"/>
          <w:szCs w:val="32"/>
        </w:rPr>
        <w:t>、城市管理办、网格化综合服务中心、天顶派出所、各社区（村））</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Times New Roman" w:hAnsi="Times New Roman" w:eastAsia="宋体" w:cs="宋体"/>
          <w:b w:val="0"/>
          <w:bCs/>
          <w:color w:val="auto"/>
          <w:kern w:val="0"/>
          <w:sz w:val="32"/>
          <w:szCs w:val="32"/>
          <w:lang w:val="en-US" w:eastAsia="zh-CN" w:bidi="ar-SA"/>
        </w:rPr>
      </w:pPr>
      <w:r>
        <w:rPr>
          <w:rFonts w:hint="eastAsia" w:ascii="Times New Roman" w:hAnsi="Times New Roman" w:eastAsia="宋体" w:cs="宋体"/>
          <w:b w:val="0"/>
          <w:bCs/>
          <w:color w:val="auto"/>
          <w:kern w:val="0"/>
          <w:sz w:val="32"/>
          <w:szCs w:val="32"/>
          <w:lang w:val="en-US" w:eastAsia="zh-CN" w:bidi="ar-SA"/>
        </w:rPr>
        <w:t>（二）专项整治艺考类培训机构消防安全</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楷体" w:cs="楷体"/>
          <w:b w:val="0"/>
          <w:bCs/>
          <w:color w:val="auto"/>
          <w:sz w:val="32"/>
          <w:szCs w:val="32"/>
        </w:rPr>
        <w:t>1</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开展艺培机构落实主体责任行动</w:t>
      </w:r>
      <w:r>
        <w:rPr>
          <w:rFonts w:hint="eastAsia" w:ascii="Times New Roman" w:hAnsi="Times New Roman" w:eastAsia="楷体" w:cs="楷体"/>
          <w:b w:val="0"/>
          <w:bCs/>
          <w:color w:val="auto"/>
          <w:sz w:val="32"/>
          <w:szCs w:val="32"/>
          <w:lang w:eastAsia="zh-CN"/>
        </w:rPr>
        <w:t>。</w:t>
      </w:r>
      <w:r>
        <w:rPr>
          <w:rFonts w:hint="eastAsia" w:ascii="Times New Roman" w:hAnsi="Times New Roman" w:eastAsia="仿宋_GB2312" w:cs="仿宋_GB2312"/>
          <w:b w:val="0"/>
          <w:bCs/>
          <w:color w:val="auto"/>
          <w:sz w:val="32"/>
          <w:szCs w:val="32"/>
        </w:rPr>
        <w:t>对全街住宿类艺术培训机构进行全面排查。</w:t>
      </w:r>
      <w:r>
        <w:rPr>
          <w:rFonts w:hint="eastAsia" w:ascii="Times New Roman" w:hAnsi="Times New Roman" w:eastAsia="仿宋_GB2312" w:cs="仿宋_GB2312"/>
          <w:b w:val="0"/>
          <w:bCs/>
          <w:color w:val="auto"/>
          <w:sz w:val="32"/>
          <w:szCs w:val="32"/>
          <w:lang w:val="en-US" w:eastAsia="zh-CN"/>
        </w:rPr>
        <w:t>一是清查合法手续问题。对未取得合法审批手续及消防验收的艺培机构，坚决依法取缔。二是清查消防安全管理问题。对存在未制定消防安全制度、未制定灭火和应急疏散预案、未明确消防安全责任人和管理人、未组织防火巡查、未组织消防演练以及未落实法律法规的其他消防安全职责等违法违规行为，上报区消防救援大队，依法约谈单位责任人并依法受案查处。</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2</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开展艺培机构火灾隐患清查行动。</w:t>
      </w:r>
      <w:r>
        <w:rPr>
          <w:rFonts w:hint="eastAsia" w:ascii="Times New Roman" w:hAnsi="Times New Roman" w:eastAsia="仿宋_GB2312" w:cs="仿宋_GB2312"/>
          <w:b w:val="0"/>
          <w:bCs/>
          <w:color w:val="auto"/>
          <w:sz w:val="32"/>
          <w:szCs w:val="32"/>
        </w:rPr>
        <w:t>对艺培机构消防安全进行摸底排查，全面掌握承包、租赁或者委托经营、管理的艺培机构场所情况。一是清查建筑防火问题，艺培机构选址是否合法合规，消防车通道是否畅通，是否存在“三合一”场所等违法违规行为。二是消防基础设施问题，严格查处整治消防设施设置不符合要求、消防设施未保持完好有效、占用、堵塞疏散通道和安全出口等违法行为。三是清查电气线路隐患，对艺培机构电气线路隐患开展清查，限期整改到位，对存在重大火灾隐患的，依法进行关停。</w:t>
      </w:r>
    </w:p>
    <w:p>
      <w:pPr>
        <w:pStyle w:val="9"/>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jc w:val="left"/>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3</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开展艺培机构消防安全宣传培训行动。</w:t>
      </w:r>
      <w:r>
        <w:rPr>
          <w:rFonts w:hint="eastAsia" w:ascii="Times New Roman" w:hAnsi="Times New Roman" w:eastAsia="仿宋_GB2312" w:cs="仿宋_GB2312"/>
          <w:b w:val="0"/>
          <w:bCs/>
          <w:color w:val="auto"/>
          <w:sz w:val="32"/>
          <w:szCs w:val="32"/>
        </w:rPr>
        <w:t>各社区（村）要主动作为，上门开展宣传活动，通过上课</w:t>
      </w:r>
      <w:r>
        <w:rPr>
          <w:rFonts w:hint="eastAsia" w:ascii="Times New Roman" w:hAnsi="Times New Roman" w:eastAsia="仿宋_GB2312" w:cs="仿宋_GB2312"/>
          <w:b w:val="0"/>
          <w:bCs/>
          <w:color w:val="auto"/>
          <w:sz w:val="32"/>
          <w:szCs w:val="32"/>
          <w:lang w:eastAsia="zh-CN"/>
        </w:rPr>
        <w:t>、</w:t>
      </w:r>
      <w:r>
        <w:rPr>
          <w:rFonts w:hint="eastAsia" w:ascii="Times New Roman" w:hAnsi="Times New Roman" w:eastAsia="仿宋_GB2312" w:cs="仿宋_GB2312"/>
          <w:b w:val="0"/>
          <w:bCs/>
          <w:color w:val="auto"/>
          <w:sz w:val="32"/>
          <w:szCs w:val="32"/>
        </w:rPr>
        <w:t>培训等形式进行消防知识宣传教育，向师生传授防火，灭火知识和逃生自救技能，提高师生的自防自救能力。</w:t>
      </w:r>
      <w:r>
        <w:rPr>
          <w:rFonts w:hint="eastAsia" w:ascii="Times New Roman" w:hAnsi="Times New Roman" w:eastAsia="仿宋_GB2312" w:cs="仿宋_GB2312"/>
          <w:b w:val="0"/>
          <w:bCs/>
          <w:color w:val="auto"/>
          <w:sz w:val="32"/>
          <w:szCs w:val="32"/>
          <w:lang w:eastAsia="zh-CN"/>
        </w:rPr>
        <w:t>（责任部门：</w:t>
      </w:r>
      <w:r>
        <w:rPr>
          <w:rFonts w:hint="eastAsia" w:ascii="Times New Roman" w:hAnsi="Times New Roman" w:eastAsia="仿宋_GB2312" w:cs="仿宋_GB2312"/>
          <w:b w:val="0"/>
          <w:bCs/>
          <w:color w:val="auto"/>
          <w:sz w:val="32"/>
          <w:szCs w:val="32"/>
        </w:rPr>
        <w:t>党政综合办、</w:t>
      </w:r>
      <w:r>
        <w:rPr>
          <w:rFonts w:hint="eastAsia" w:ascii="Times New Roman" w:hAnsi="Times New Roman" w:eastAsia="仿宋_GB2312" w:cs="仿宋_GB2312"/>
          <w:b w:val="0"/>
          <w:bCs/>
          <w:color w:val="auto"/>
          <w:sz w:val="32"/>
          <w:szCs w:val="32"/>
          <w:lang w:eastAsia="zh-CN"/>
        </w:rPr>
        <w:t>公共安全办</w:t>
      </w:r>
      <w:r>
        <w:rPr>
          <w:rFonts w:hint="eastAsia" w:ascii="Times New Roman" w:hAnsi="Times New Roman" w:eastAsia="仿宋_GB2312" w:cs="仿宋_GB2312"/>
          <w:b w:val="0"/>
          <w:bCs/>
          <w:color w:val="auto"/>
          <w:sz w:val="32"/>
          <w:szCs w:val="32"/>
        </w:rPr>
        <w:t>、各社区(村））</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Times New Roman" w:hAnsi="Times New Roman" w:eastAsia="宋体" w:cs="宋体"/>
          <w:b w:val="0"/>
          <w:bCs/>
          <w:color w:val="auto"/>
          <w:kern w:val="0"/>
          <w:sz w:val="32"/>
          <w:szCs w:val="32"/>
          <w:lang w:val="en-US" w:eastAsia="zh-CN" w:bidi="ar-SA"/>
        </w:rPr>
      </w:pPr>
      <w:r>
        <w:rPr>
          <w:rFonts w:hint="eastAsia" w:ascii="Times New Roman" w:hAnsi="Times New Roman" w:eastAsia="宋体" w:cs="宋体"/>
          <w:b w:val="0"/>
          <w:bCs/>
          <w:color w:val="auto"/>
          <w:kern w:val="0"/>
          <w:sz w:val="32"/>
          <w:szCs w:val="32"/>
          <w:lang w:val="en-US" w:eastAsia="zh-CN" w:bidi="ar-SA"/>
        </w:rPr>
        <w:t>（三）专项整治宾馆、旅馆消防安全</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1</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疏散通道、安全出口清查行动。</w:t>
      </w:r>
      <w:r>
        <w:rPr>
          <w:rFonts w:hint="eastAsia" w:ascii="Times New Roman" w:hAnsi="Times New Roman" w:eastAsia="仿宋_GB2312" w:cs="仿宋_GB2312"/>
          <w:b w:val="0"/>
          <w:bCs/>
          <w:color w:val="auto"/>
          <w:sz w:val="32"/>
          <w:szCs w:val="32"/>
        </w:rPr>
        <w:t>对全街所有宾馆、旅馆的疏散通道、安全出口进行火灾隐患排查，对占用、堵塞疏散通道、安全出口的违法行为，能现场整改的要督促现场整改，对严重堵塞或安全出口不足等符合查封条件的要依法进行查封。</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2</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消防设施设置、完好性清查行动。</w:t>
      </w:r>
      <w:r>
        <w:rPr>
          <w:rFonts w:hint="eastAsia" w:ascii="Times New Roman" w:hAnsi="Times New Roman" w:eastAsia="仿宋_GB2312" w:cs="仿宋_GB2312"/>
          <w:b w:val="0"/>
          <w:bCs/>
          <w:color w:val="auto"/>
          <w:sz w:val="32"/>
          <w:szCs w:val="32"/>
        </w:rPr>
        <w:t>根据规范要求，对不同建筑内的宾馆、旅馆是否需要设置室内、外消火栓、灭火器、疏散指示、安全出口标志、应急照明灯具、火灾自动报警系统、自动灭火系统、其他联动控制设备、消防控制室等消防设施设备开展排查。对已设置的消防设施进行检测，确保其完整好用，并抽查员工对消防设施的熟练使用情况。</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3</w:t>
      </w:r>
      <w:r>
        <w:rPr>
          <w:rFonts w:hint="eastAsia" w:ascii="Times New Roman" w:hAnsi="Times New Roman" w:eastAsia="楷体" w:cs="楷体"/>
          <w:b w:val="0"/>
          <w:bCs/>
          <w:color w:val="auto"/>
          <w:sz w:val="32"/>
          <w:szCs w:val="32"/>
          <w:lang w:eastAsia="zh-CN"/>
        </w:rPr>
        <w:t>.</w:t>
      </w:r>
      <w:r>
        <w:rPr>
          <w:rFonts w:hint="eastAsia" w:ascii="Times New Roman" w:hAnsi="Times New Roman" w:eastAsia="楷体" w:cs="楷体"/>
          <w:b w:val="0"/>
          <w:bCs/>
          <w:color w:val="auto"/>
          <w:sz w:val="32"/>
          <w:szCs w:val="32"/>
        </w:rPr>
        <w:t>电线私拉乱接清查行动。</w:t>
      </w:r>
      <w:r>
        <w:rPr>
          <w:rFonts w:hint="eastAsia" w:ascii="Times New Roman" w:hAnsi="Times New Roman" w:eastAsia="仿宋_GB2312" w:cs="仿宋_GB2312"/>
          <w:b w:val="0"/>
          <w:bCs/>
          <w:color w:val="auto"/>
          <w:sz w:val="32"/>
          <w:szCs w:val="32"/>
        </w:rPr>
        <w:t>对全街所有宾馆、旅馆内不符合用电规范要求，不具备接电条件私拉乱接的行为进行整治，督促其限期整改，对存在严重消防安全隐患的，实行挂牌督办责令整改，对拒不整改的，予以立案查处。</w:t>
      </w:r>
      <w:r>
        <w:rPr>
          <w:rFonts w:hint="eastAsia" w:ascii="Times New Roman" w:hAnsi="Times New Roman" w:eastAsia="仿宋_GB2312" w:cs="仿宋_GB2312"/>
          <w:b w:val="0"/>
          <w:bCs/>
          <w:color w:val="auto"/>
          <w:sz w:val="32"/>
          <w:szCs w:val="32"/>
          <w:lang w:eastAsia="zh-CN"/>
        </w:rPr>
        <w:t>（责任部门：公共安全办</w:t>
      </w:r>
      <w:r>
        <w:rPr>
          <w:rFonts w:hint="eastAsia" w:ascii="Times New Roman" w:hAnsi="Times New Roman" w:eastAsia="仿宋_GB2312" w:cs="仿宋_GB2312"/>
          <w:b w:val="0"/>
          <w:bCs/>
          <w:color w:val="auto"/>
          <w:sz w:val="32"/>
          <w:szCs w:val="32"/>
        </w:rPr>
        <w:t>、天顶派出所、各社区（村））</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五、工作职责</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社区（村）：</w:t>
      </w:r>
      <w:r>
        <w:rPr>
          <w:rFonts w:hint="eastAsia" w:ascii="Times New Roman" w:hAnsi="Times New Roman" w:eastAsia="仿宋_GB2312" w:cs="仿宋_GB2312"/>
          <w:b w:val="0"/>
          <w:bCs/>
          <w:color w:val="auto"/>
          <w:sz w:val="32"/>
          <w:szCs w:val="32"/>
        </w:rPr>
        <w:t>负责辖区内“百日攻坚”行动各项工作具体实施，各项工作建立台账，按时报送至“百日攻坚”办公室。</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党政综合办：负</w:t>
      </w:r>
      <w:r>
        <w:rPr>
          <w:rFonts w:hint="eastAsia" w:ascii="Times New Roman" w:hAnsi="Times New Roman" w:eastAsia="仿宋_GB2312" w:cs="仿宋_GB2312"/>
          <w:b w:val="0"/>
          <w:bCs/>
          <w:color w:val="auto"/>
          <w:sz w:val="32"/>
          <w:szCs w:val="32"/>
        </w:rPr>
        <w:t>责指导百日攻坚宣传工作，协调各新闻媒体开展新闻宣传，协调、引导正确的消防安全宣传导向；艺考类培训机构消防安全治理，落实消防安全行业监管责任，督促所属相关单位开展消防安全隐患排查、消防安全宣教、消防应急演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lang w:eastAsia="zh-CN"/>
        </w:rPr>
        <w:t>公共安全办</w:t>
      </w:r>
      <w:r>
        <w:rPr>
          <w:rFonts w:hint="eastAsia" w:ascii="Times New Roman" w:hAnsi="Times New Roman" w:eastAsia="楷体" w:cs="楷体"/>
          <w:b w:val="0"/>
          <w:bCs/>
          <w:color w:val="auto"/>
          <w:sz w:val="32"/>
          <w:szCs w:val="32"/>
        </w:rPr>
        <w:t>：</w:t>
      </w:r>
      <w:r>
        <w:rPr>
          <w:rFonts w:hint="eastAsia" w:ascii="Times New Roman" w:hAnsi="Times New Roman" w:eastAsia="仿宋_GB2312" w:cs="仿宋_GB2312"/>
          <w:b w:val="0"/>
          <w:bCs/>
          <w:color w:val="auto"/>
          <w:sz w:val="32"/>
          <w:szCs w:val="32"/>
        </w:rPr>
        <w:t>收集全街推进情况，定期调度各</w:t>
      </w:r>
      <w:r>
        <w:rPr>
          <w:rFonts w:hint="eastAsia" w:ascii="Times New Roman" w:hAnsi="Times New Roman" w:eastAsia="仿宋_GB2312" w:cs="仿宋_GB2312"/>
          <w:b w:val="0"/>
          <w:bCs/>
          <w:color w:val="auto"/>
          <w:sz w:val="32"/>
          <w:szCs w:val="32"/>
          <w:lang w:val="en-US" w:eastAsia="zh-CN"/>
        </w:rPr>
        <w:t>部门、各社区（村）</w:t>
      </w:r>
      <w:r>
        <w:rPr>
          <w:rFonts w:hint="eastAsia" w:ascii="Times New Roman" w:hAnsi="Times New Roman" w:eastAsia="仿宋_GB2312" w:cs="仿宋_GB2312"/>
          <w:b w:val="0"/>
          <w:bCs/>
          <w:color w:val="auto"/>
          <w:sz w:val="32"/>
          <w:szCs w:val="32"/>
        </w:rPr>
        <w:t>工作，对发现的问题进行清单式反馈，报送至区消安委办公室。</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lang w:eastAsia="zh-CN"/>
        </w:rPr>
        <w:t>公共安全办</w:t>
      </w:r>
      <w:r>
        <w:rPr>
          <w:rFonts w:hint="eastAsia" w:ascii="Times New Roman" w:hAnsi="Times New Roman" w:eastAsia="楷体" w:cs="楷体"/>
          <w:b w:val="0"/>
          <w:bCs/>
          <w:color w:val="auto"/>
          <w:sz w:val="32"/>
          <w:szCs w:val="32"/>
        </w:rPr>
        <w:t>：</w:t>
      </w:r>
      <w:r>
        <w:rPr>
          <w:rFonts w:hint="eastAsia" w:ascii="Times New Roman" w:hAnsi="Times New Roman" w:eastAsia="仿宋_GB2312" w:cs="仿宋_GB2312"/>
          <w:b w:val="0"/>
          <w:bCs/>
          <w:color w:val="auto"/>
          <w:sz w:val="32"/>
          <w:szCs w:val="32"/>
        </w:rPr>
        <w:t>协助做好百日攻坚信访来访接待工作，依据《信访条例》及时向有权处理的行政机关转送、交办百日攻坚方面的信访事项；对相关案件的司法程序进行指导。</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lang w:eastAsia="zh-CN"/>
        </w:rPr>
        <w:t>公共服务办</w:t>
      </w:r>
      <w:r>
        <w:rPr>
          <w:rFonts w:hint="eastAsia" w:ascii="Times New Roman" w:hAnsi="Times New Roman" w:eastAsia="楷体" w:cs="楷体"/>
          <w:b w:val="0"/>
          <w:bCs/>
          <w:color w:val="auto"/>
          <w:sz w:val="32"/>
          <w:szCs w:val="32"/>
        </w:rPr>
        <w:t>：</w:t>
      </w:r>
      <w:r>
        <w:rPr>
          <w:rFonts w:hint="eastAsia" w:ascii="Times New Roman" w:hAnsi="Times New Roman" w:eastAsia="仿宋_GB2312" w:cs="仿宋_GB2312"/>
          <w:b w:val="0"/>
          <w:bCs/>
          <w:color w:val="auto"/>
          <w:sz w:val="32"/>
          <w:szCs w:val="32"/>
        </w:rPr>
        <w:t>在职责范围内，督促、指导各类商贸流通企业规范加强消防安全管理，牵头开展大型商场超市的消防安全隐患排查，督导企业定期开展消防演练，夯实企业消防安全主体责任。</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财政所：</w:t>
      </w:r>
      <w:r>
        <w:rPr>
          <w:rFonts w:hint="eastAsia" w:ascii="Times New Roman" w:hAnsi="Times New Roman" w:eastAsia="仿宋_GB2312" w:cs="仿宋_GB2312"/>
          <w:b w:val="0"/>
          <w:bCs/>
          <w:color w:val="auto"/>
          <w:sz w:val="32"/>
          <w:szCs w:val="32"/>
        </w:rPr>
        <w:t>负责百日攻坚行动经费保障。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网格化综合服务中心：</w:t>
      </w:r>
      <w:r>
        <w:rPr>
          <w:rFonts w:hint="eastAsia" w:ascii="Times New Roman" w:hAnsi="Times New Roman" w:eastAsia="仿宋_GB2312" w:cs="仿宋_GB2312"/>
          <w:b w:val="0"/>
          <w:bCs/>
          <w:color w:val="auto"/>
          <w:sz w:val="32"/>
          <w:szCs w:val="32"/>
        </w:rPr>
        <w:t>把消防安全巡查纳入网格重点服务范围，发动、组织各级网格对小区、楼道消防安全通道堵塞，电动车违规充电、“多合一”场所等问题进行存查上报，由平台分派给相关责任部门、单位，限时处置。</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lang w:eastAsia="zh-CN"/>
        </w:rPr>
        <w:t>纪检监察室</w:t>
      </w:r>
      <w:r>
        <w:rPr>
          <w:rFonts w:hint="eastAsia" w:ascii="Times New Roman" w:hAnsi="Times New Roman" w:eastAsia="楷体" w:cs="楷体"/>
          <w:b w:val="0"/>
          <w:bCs/>
          <w:color w:val="auto"/>
          <w:sz w:val="32"/>
          <w:szCs w:val="32"/>
        </w:rPr>
        <w:t>：</w:t>
      </w:r>
      <w:r>
        <w:rPr>
          <w:rFonts w:hint="eastAsia" w:ascii="Times New Roman" w:hAnsi="Times New Roman" w:eastAsia="仿宋_GB2312" w:cs="仿宋_GB2312"/>
          <w:b w:val="0"/>
          <w:bCs/>
          <w:color w:val="auto"/>
          <w:sz w:val="32"/>
          <w:szCs w:val="32"/>
        </w:rPr>
        <w:t>负责牵头百日攻坚工作督查，对百日攻坚工作落实不到位的单位和个人，进行追责问责。</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城市管理办：</w:t>
      </w:r>
      <w:r>
        <w:rPr>
          <w:rFonts w:hint="eastAsia" w:ascii="Times New Roman" w:hAnsi="Times New Roman" w:eastAsia="仿宋_GB2312" w:cs="仿宋_GB2312"/>
          <w:b w:val="0"/>
          <w:bCs/>
          <w:color w:val="auto"/>
          <w:spacing w:val="9"/>
          <w:sz w:val="32"/>
          <w:szCs w:val="32"/>
        </w:rPr>
        <w:t>牵头小区楼栋消防安全整治，督促住宅小区的物业服务企业加强对电动自行车的管理，合理设置电动车充电区域；</w:t>
      </w:r>
      <w:r>
        <w:rPr>
          <w:rFonts w:hint="eastAsia" w:ascii="Times New Roman" w:hAnsi="Times New Roman" w:eastAsia="仿宋_GB2312" w:cs="仿宋_GB2312"/>
          <w:b w:val="0"/>
          <w:bCs/>
          <w:color w:val="auto"/>
          <w:sz w:val="32"/>
          <w:szCs w:val="32"/>
        </w:rPr>
        <w:t>对影响消防安全的违法建筑开展清障、拆除等整治和执法工作。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rPr>
        <w:t>天顶派出所：</w:t>
      </w:r>
      <w:r>
        <w:rPr>
          <w:rFonts w:hint="eastAsia" w:ascii="Times New Roman" w:hAnsi="Times New Roman" w:eastAsia="仿宋_GB2312" w:cs="仿宋_GB2312"/>
          <w:b w:val="0"/>
          <w:bCs/>
          <w:color w:val="auto"/>
          <w:sz w:val="32"/>
          <w:szCs w:val="32"/>
        </w:rPr>
        <w:t>开展宾馆、旅馆、小区楼栋消防安全治理，负责办理达到失火罪和消防责任事故罪等消防安全立案追诉标准的案件，并与消防救援机构建立完善案件移送、案件通报、信息共享等工作机制;负责办理消防救援机构移送的行政拘留案件;负责处理阻碍消防救援机构工作人员依法履行职责的违法犯罪行为。</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lang w:eastAsia="zh-CN"/>
        </w:rPr>
        <w:t>天顶市场监督管理所</w:t>
      </w:r>
      <w:r>
        <w:rPr>
          <w:rFonts w:hint="eastAsia" w:ascii="Times New Roman" w:hAnsi="Times New Roman" w:eastAsia="楷体" w:cs="楷体"/>
          <w:b w:val="0"/>
          <w:bCs/>
          <w:color w:val="auto"/>
          <w:sz w:val="32"/>
          <w:szCs w:val="32"/>
        </w:rPr>
        <w:t>：</w:t>
      </w:r>
      <w:r>
        <w:rPr>
          <w:rFonts w:hint="eastAsia" w:ascii="Times New Roman" w:hAnsi="Times New Roman" w:eastAsia="仿宋_GB2312" w:cs="仿宋_GB2312"/>
          <w:b w:val="0"/>
          <w:bCs/>
          <w:color w:val="auto"/>
          <w:sz w:val="32"/>
          <w:szCs w:val="32"/>
        </w:rPr>
        <w:t>对生产流通领域消防认证产品质量实施监督管理，依法查处消防产品质量违法行为，负责消防相关产品质量认证监督管理工作。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六、工作要求</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lang w:val="en-US" w:eastAsia="zh-CN"/>
        </w:rPr>
        <w:t>1.加强组织领导。</w:t>
      </w:r>
      <w:r>
        <w:rPr>
          <w:rFonts w:hint="eastAsia" w:ascii="Times New Roman" w:hAnsi="Times New Roman" w:eastAsia="仿宋_GB2312" w:cs="仿宋_GB2312"/>
          <w:b w:val="0"/>
          <w:bCs/>
          <w:color w:val="auto"/>
          <w:sz w:val="32"/>
          <w:szCs w:val="32"/>
        </w:rPr>
        <w:t>全街消防领域专项整治百日攻坚日常工作由街道消安委统筹。各部门要健全完善信息报送、情况通报、联合执法、常态宣传机制。各单位务必高度重视百日攻坚行动，确保摸底排查到位、隐患整改到位、宣传教育到位，应急演练到位。</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lang w:val="en-US" w:eastAsia="zh-CN"/>
        </w:rPr>
        <w:t>2.</w:t>
      </w:r>
      <w:r>
        <w:rPr>
          <w:rFonts w:hint="eastAsia" w:ascii="Times New Roman" w:hAnsi="Times New Roman" w:eastAsia="楷体" w:cs="楷体"/>
          <w:b w:val="0"/>
          <w:bCs/>
          <w:color w:val="auto"/>
          <w:sz w:val="32"/>
          <w:szCs w:val="32"/>
        </w:rPr>
        <w:t>加强执法联动。</w:t>
      </w:r>
      <w:r>
        <w:rPr>
          <w:rFonts w:hint="eastAsia" w:ascii="Times New Roman" w:hAnsi="Times New Roman" w:eastAsia="仿宋_GB2312" w:cs="仿宋_GB2312"/>
          <w:b w:val="0"/>
          <w:bCs/>
          <w:color w:val="auto"/>
          <w:sz w:val="32"/>
          <w:szCs w:val="32"/>
        </w:rPr>
        <w:t>各有关部门要始终保持消防安全百日攻坚高压态势，切实加大执法检查力度和联合执法频次，开展一次全面排查，清理一批隐患乱源，下发一批消防隐患整改通知单，办理一批典型案件。</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lang w:val="en-US" w:eastAsia="zh-CN"/>
        </w:rPr>
        <w:t>3.</w:t>
      </w:r>
      <w:r>
        <w:rPr>
          <w:rFonts w:hint="eastAsia" w:ascii="Times New Roman" w:hAnsi="Times New Roman" w:eastAsia="楷体" w:cs="楷体"/>
          <w:b w:val="0"/>
          <w:bCs/>
          <w:color w:val="auto"/>
          <w:sz w:val="32"/>
          <w:szCs w:val="32"/>
        </w:rPr>
        <w:t>加强督查督办。</w:t>
      </w:r>
      <w:r>
        <w:rPr>
          <w:rFonts w:hint="eastAsia" w:ascii="Times New Roman" w:hAnsi="Times New Roman" w:eastAsia="仿宋_GB2312" w:cs="仿宋_GB2312"/>
          <w:b w:val="0"/>
          <w:bCs/>
          <w:color w:val="auto"/>
          <w:sz w:val="32"/>
          <w:szCs w:val="32"/>
        </w:rPr>
        <w:t>将百日攻坚工作纳入年度考核内容，对各社区（村）、相关部门进行综合督查，采取“四不两直”、暗查暗访等督查形式，不定期进行督查和通报。对督查中发现重大事故隐患和严重非法违法行为进行集中曝光，对自查自改不认真、隐患整治不彻底、安全责任不落实、行动组织不得力、执法处罚不严格的相关单位和个人，进行提醒、约谈、问责。</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sz w:val="32"/>
          <w:szCs w:val="32"/>
          <w:lang w:val="en-US" w:eastAsia="zh-CN"/>
        </w:rPr>
        <w:t>4.</w:t>
      </w:r>
      <w:r>
        <w:rPr>
          <w:rFonts w:hint="eastAsia" w:ascii="Times New Roman" w:hAnsi="Times New Roman" w:eastAsia="楷体" w:cs="楷体"/>
          <w:b w:val="0"/>
          <w:bCs/>
          <w:color w:val="auto"/>
          <w:sz w:val="32"/>
          <w:szCs w:val="32"/>
        </w:rPr>
        <w:t>加强常态管理。</w:t>
      </w:r>
      <w:r>
        <w:rPr>
          <w:rFonts w:hint="eastAsia" w:ascii="Times New Roman" w:hAnsi="Times New Roman" w:eastAsia="仿宋_GB2312" w:cs="仿宋_GB2312"/>
          <w:b w:val="0"/>
          <w:bCs/>
          <w:color w:val="auto"/>
          <w:sz w:val="32"/>
          <w:szCs w:val="32"/>
        </w:rPr>
        <w:t>要全面深化消防安全专项整治百日攻坚成果，建立健全执法联动、吹哨报到、入户宣传、全民演练工作机制，全面推进消防安全整治常态长效。</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附件：</w:t>
      </w:r>
      <w:r>
        <w:rPr>
          <w:rFonts w:hint="eastAsia" w:ascii="Times New Roman" w:hAnsi="Times New Roman" w:eastAsia="仿宋_GB2312" w:cs="仿宋_GB2312"/>
          <w:b w:val="0"/>
          <w:bCs/>
          <w:color w:val="auto"/>
          <w:sz w:val="32"/>
          <w:szCs w:val="32"/>
          <w:lang w:val="en-US" w:eastAsia="zh-CN"/>
        </w:rPr>
        <w:t>2-1</w:t>
      </w:r>
      <w:r>
        <w:rPr>
          <w:rFonts w:hint="eastAsia" w:ascii="Times New Roman" w:hAnsi="Times New Roman" w:eastAsia="仿宋_GB2312" w:cs="仿宋_GB2312"/>
          <w:b w:val="0"/>
          <w:bCs/>
          <w:color w:val="auto"/>
          <w:sz w:val="32"/>
          <w:szCs w:val="32"/>
        </w:rPr>
        <w:t>.天顶街道消防车通道标识划线情况统计表</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2-2</w:t>
      </w:r>
      <w:r>
        <w:rPr>
          <w:rFonts w:hint="eastAsia" w:ascii="Times New Roman" w:hAnsi="Times New Roman" w:eastAsia="仿宋_GB2312" w:cs="仿宋_GB2312"/>
          <w:b w:val="0"/>
          <w:bCs/>
          <w:color w:val="auto"/>
          <w:sz w:val="32"/>
          <w:szCs w:val="32"/>
        </w:rPr>
        <w:t>.天顶街道消防领域专项整治百日攻坚隐患清单及</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整改责任清单</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 xml:space="preserve">     </w:t>
      </w:r>
      <w:r>
        <w:rPr>
          <w:rFonts w:hint="eastAsia" w:ascii="Times New Roman" w:hAnsi="Times New Roman" w:eastAsia="仿宋_GB2312" w:cs="仿宋_GB2312"/>
          <w:b w:val="0"/>
          <w:bCs/>
          <w:color w:val="auto"/>
          <w:sz w:val="32"/>
          <w:szCs w:val="32"/>
          <w:lang w:val="en-US" w:eastAsia="zh-CN"/>
        </w:rPr>
        <w:t xml:space="preserve"> 2-3</w:t>
      </w:r>
      <w:r>
        <w:rPr>
          <w:rFonts w:hint="eastAsia" w:ascii="Times New Roman" w:hAnsi="Times New Roman" w:eastAsia="仿宋_GB2312" w:cs="仿宋_GB2312"/>
          <w:b w:val="0"/>
          <w:bCs/>
          <w:color w:val="auto"/>
          <w:sz w:val="32"/>
          <w:szCs w:val="32"/>
        </w:rPr>
        <w:t>.天顶街道艺考类培训机构摸底排查整治清单</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sectPr>
          <w:headerReference r:id="rId5" w:type="default"/>
          <w:footerReference r:id="rId6" w:type="default"/>
          <w:footerReference r:id="rId7" w:type="even"/>
          <w:pgSz w:w="11900" w:h="16838"/>
          <w:pgMar w:top="2098" w:right="1417" w:bottom="1984" w:left="1644" w:header="850" w:footer="992" w:gutter="0"/>
          <w:pgNumType w:fmt="numberInDash"/>
          <w:cols w:space="0" w:num="1"/>
          <w:rtlGutter w:val="0"/>
          <w:docGrid w:linePitch="312" w:charSpace="0"/>
        </w:sectPr>
      </w:pPr>
    </w:p>
    <w:p>
      <w:pPr>
        <w:spacing w:line="560" w:lineRule="exact"/>
        <w:rPr>
          <w:rFonts w:hint="eastAsia" w:ascii="Times New Roman" w:hAnsi="Times New Roman" w:eastAsia="黑体" w:cs="黑体"/>
          <w:b w:val="0"/>
          <w:bCs/>
          <w:color w:val="auto"/>
          <w:kern w:val="0"/>
          <w:sz w:val="28"/>
          <w:szCs w:val="28"/>
        </w:rPr>
      </w:pPr>
      <w:r>
        <w:rPr>
          <w:rFonts w:hint="eastAsia" w:ascii="Times New Roman" w:hAnsi="Times New Roman" w:eastAsia="黑体" w:cs="黑体"/>
          <w:b w:val="0"/>
          <w:bCs/>
          <w:color w:val="auto"/>
          <w:kern w:val="0"/>
          <w:sz w:val="28"/>
          <w:szCs w:val="28"/>
        </w:rPr>
        <w:t>附件</w:t>
      </w:r>
      <w:r>
        <w:rPr>
          <w:rFonts w:hint="eastAsia" w:ascii="Times New Roman" w:hAnsi="Times New Roman" w:eastAsia="黑体" w:cs="黑体"/>
          <w:b w:val="0"/>
          <w:bCs/>
          <w:color w:val="auto"/>
          <w:kern w:val="0"/>
          <w:sz w:val="28"/>
          <w:szCs w:val="28"/>
          <w:lang w:val="en-US" w:eastAsia="zh-CN"/>
        </w:rPr>
        <w:t>2-1</w:t>
      </w:r>
      <w:r>
        <w:rPr>
          <w:rFonts w:hint="eastAsia" w:ascii="Times New Roman" w:hAnsi="Times New Roman" w:eastAsia="黑体" w:cs="黑体"/>
          <w:b w:val="0"/>
          <w:bCs/>
          <w:color w:val="auto"/>
          <w:kern w:val="0"/>
          <w:sz w:val="28"/>
          <w:szCs w:val="28"/>
        </w:rPr>
        <w:t>：</w:t>
      </w:r>
    </w:p>
    <w:p>
      <w:pPr>
        <w:spacing w:line="560" w:lineRule="exact"/>
        <w:jc w:val="center"/>
        <w:rPr>
          <w:rFonts w:hint="eastAsia" w:ascii="Times New Roman" w:hAnsi="Times New Roman" w:eastAsia="方正小标宋简体" w:cs="Times New Roman"/>
          <w:b w:val="0"/>
          <w:bCs/>
          <w:color w:val="auto"/>
          <w:kern w:val="0"/>
          <w:sz w:val="44"/>
          <w:szCs w:val="40"/>
        </w:rPr>
      </w:pPr>
      <w:r>
        <w:rPr>
          <w:rFonts w:hint="eastAsia" w:ascii="Times New Roman" w:hAnsi="Times New Roman" w:eastAsia="方正小标宋简体" w:cs="Times New Roman"/>
          <w:b w:val="0"/>
          <w:bCs/>
          <w:color w:val="auto"/>
          <w:kern w:val="0"/>
          <w:sz w:val="44"/>
          <w:szCs w:val="40"/>
        </w:rPr>
        <w:t>天顶街道消防车通道标识划线情况统计表</w:t>
      </w:r>
    </w:p>
    <w:p>
      <w:pPr>
        <w:keepNext w:val="0"/>
        <w:keepLines w:val="0"/>
        <w:pageBreakBefore w:val="0"/>
        <w:kinsoku/>
        <w:wordWrap/>
        <w:overflowPunct/>
        <w:topLinePunct w:val="0"/>
        <w:autoSpaceDN/>
        <w:bidi w:val="0"/>
        <w:spacing w:line="570" w:lineRule="exact"/>
        <w:ind w:left="120" w:leftChars="-400" w:hanging="960" w:hangingChars="300"/>
        <w:jc w:val="both"/>
        <w:rPr>
          <w:rFonts w:hint="eastAsia" w:ascii="Times New Roman" w:hAnsi="Times New Roman" w:eastAsia="仿宋_GB2312" w:cs="仿宋_GB2312"/>
          <w:b w:val="0"/>
          <w:bCs/>
          <w:color w:val="auto"/>
          <w:kern w:val="0"/>
          <w:sz w:val="32"/>
          <w:szCs w:val="32"/>
        </w:rPr>
      </w:pPr>
      <w:r>
        <w:rPr>
          <w:rFonts w:hint="eastAsia" w:ascii="Times New Roman" w:hAnsi="Times New Roman" w:eastAsia="仿宋_GB2312" w:cs="仿宋_GB2312"/>
          <w:b w:val="0"/>
          <w:bCs/>
          <w:color w:val="auto"/>
          <w:kern w:val="0"/>
          <w:sz w:val="32"/>
          <w:szCs w:val="32"/>
        </w:rPr>
        <w:t xml:space="preserve">填报单位:         填报人及电话：    </w:t>
      </w:r>
      <w:r>
        <w:rPr>
          <w:rFonts w:hint="eastAsia" w:ascii="Times New Roman" w:hAnsi="Times New Roman" w:eastAsia="仿宋_GB2312" w:cs="仿宋_GB2312"/>
          <w:b w:val="0"/>
          <w:bCs/>
          <w:color w:val="auto"/>
          <w:kern w:val="0"/>
          <w:sz w:val="32"/>
          <w:szCs w:val="32"/>
          <w:lang w:eastAsia="zh-CN"/>
        </w:rPr>
        <w:t>　　</w:t>
      </w:r>
      <w:r>
        <w:rPr>
          <w:rFonts w:hint="eastAsia" w:ascii="Times New Roman" w:hAnsi="Times New Roman" w:eastAsia="仿宋_GB2312" w:cs="仿宋_GB2312"/>
          <w:b w:val="0"/>
          <w:bCs/>
          <w:color w:val="auto"/>
          <w:kern w:val="0"/>
          <w:sz w:val="32"/>
          <w:szCs w:val="32"/>
        </w:rPr>
        <w:t xml:space="preserve">   审核人：    </w:t>
      </w:r>
      <w:r>
        <w:rPr>
          <w:rFonts w:hint="eastAsia" w:ascii="Times New Roman" w:hAnsi="Times New Roman" w:eastAsia="仿宋_GB2312" w:cs="仿宋_GB2312"/>
          <w:b w:val="0"/>
          <w:bCs/>
          <w:color w:val="auto"/>
          <w:kern w:val="0"/>
          <w:sz w:val="32"/>
          <w:szCs w:val="32"/>
          <w:lang w:eastAsia="zh-CN"/>
        </w:rPr>
        <w:t>　　　</w:t>
      </w:r>
      <w:r>
        <w:rPr>
          <w:rFonts w:hint="eastAsia" w:ascii="Times New Roman" w:hAnsi="Times New Roman" w:eastAsia="仿宋_GB2312" w:cs="仿宋_GB2312"/>
          <w:b w:val="0"/>
          <w:bCs/>
          <w:color w:val="auto"/>
          <w:kern w:val="0"/>
          <w:sz w:val="32"/>
          <w:szCs w:val="32"/>
        </w:rPr>
        <w:t xml:space="preserve"> 填报时间：     年   月  日</w:t>
      </w:r>
    </w:p>
    <w:tbl>
      <w:tblPr>
        <w:tblStyle w:val="10"/>
        <w:tblW w:w="14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758"/>
        <w:gridCol w:w="1270"/>
        <w:gridCol w:w="1270"/>
        <w:gridCol w:w="1270"/>
        <w:gridCol w:w="788"/>
        <w:gridCol w:w="1320"/>
        <w:gridCol w:w="1110"/>
        <w:gridCol w:w="1864"/>
        <w:gridCol w:w="1270"/>
        <w:gridCol w:w="1221"/>
        <w:gridCol w:w="1320"/>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序号</w:t>
            </w:r>
          </w:p>
        </w:tc>
        <w:tc>
          <w:tcPr>
            <w:tcW w:w="75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所属县市区</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名称</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地址</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类别 （公共建筑或居民小区）</w:t>
            </w:r>
          </w:p>
        </w:tc>
        <w:tc>
          <w:tcPr>
            <w:tcW w:w="78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建成时间</w:t>
            </w: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是否落实消防车通道标识划线</w:t>
            </w:r>
          </w:p>
        </w:tc>
        <w:tc>
          <w:tcPr>
            <w:tcW w:w="111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新增停车位（个）</w:t>
            </w:r>
          </w:p>
        </w:tc>
        <w:tc>
          <w:tcPr>
            <w:tcW w:w="1864"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新增弹性停车、错时开放、潮汐停车、共享停车位（个）</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治理责任人</w:t>
            </w:r>
          </w:p>
        </w:tc>
        <w:tc>
          <w:tcPr>
            <w:tcW w:w="122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计划完成时间</w:t>
            </w: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挂牌督办情况</w:t>
            </w:r>
          </w:p>
        </w:tc>
        <w:tc>
          <w:tcPr>
            <w:tcW w:w="73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1</w:t>
            </w:r>
          </w:p>
        </w:tc>
        <w:tc>
          <w:tcPr>
            <w:tcW w:w="75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**（权属单位名称）</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**市**县（市、区）**镇（街道）</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居民小区</w:t>
            </w:r>
          </w:p>
        </w:tc>
        <w:tc>
          <w:tcPr>
            <w:tcW w:w="78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11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864"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22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此项</w:t>
            </w:r>
          </w:p>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暂不填写</w:t>
            </w:r>
          </w:p>
        </w:tc>
        <w:tc>
          <w:tcPr>
            <w:tcW w:w="73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2</w:t>
            </w:r>
          </w:p>
        </w:tc>
        <w:tc>
          <w:tcPr>
            <w:tcW w:w="75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**（权属单位名称）</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**市**县（市、区）**镇（街道）</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公共建筑</w:t>
            </w:r>
          </w:p>
        </w:tc>
        <w:tc>
          <w:tcPr>
            <w:tcW w:w="78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11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864"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22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此项</w:t>
            </w:r>
          </w:p>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暂不填写</w:t>
            </w:r>
          </w:p>
        </w:tc>
        <w:tc>
          <w:tcPr>
            <w:tcW w:w="73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仿宋" w:cs="仿宋"/>
                <w:b w:val="0"/>
                <w:bCs/>
                <w:color w:val="auto"/>
                <w:szCs w:val="21"/>
                <w:lang w:val="en-US" w:eastAsia="zh-CN"/>
              </w:rPr>
            </w:pPr>
            <w:r>
              <w:rPr>
                <w:rFonts w:hint="eastAsia" w:ascii="Times New Roman" w:hAnsi="Times New Roman" w:eastAsia="仿宋" w:cs="仿宋"/>
                <w:b w:val="0"/>
                <w:bCs/>
                <w:color w:val="auto"/>
                <w:szCs w:val="21"/>
                <w:lang w:val="en-US" w:eastAsia="zh-CN"/>
              </w:rPr>
              <w:t>3</w:t>
            </w:r>
          </w:p>
        </w:tc>
        <w:tc>
          <w:tcPr>
            <w:tcW w:w="75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78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11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64"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2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73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仿宋" w:cs="仿宋"/>
                <w:b w:val="0"/>
                <w:bCs/>
                <w:color w:val="auto"/>
                <w:szCs w:val="21"/>
                <w:lang w:val="en-US" w:eastAsia="zh-CN"/>
              </w:rPr>
            </w:pPr>
            <w:r>
              <w:rPr>
                <w:rFonts w:hint="eastAsia" w:ascii="Times New Roman" w:hAnsi="Times New Roman" w:eastAsia="仿宋" w:cs="仿宋"/>
                <w:b w:val="0"/>
                <w:bCs/>
                <w:color w:val="auto"/>
                <w:szCs w:val="21"/>
                <w:lang w:val="en-US" w:eastAsia="zh-CN"/>
              </w:rPr>
              <w:t>4</w:t>
            </w:r>
          </w:p>
        </w:tc>
        <w:tc>
          <w:tcPr>
            <w:tcW w:w="75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78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11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64"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2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73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仿宋" w:cs="仿宋"/>
                <w:b w:val="0"/>
                <w:bCs/>
                <w:color w:val="auto"/>
                <w:szCs w:val="21"/>
                <w:lang w:val="en-US" w:eastAsia="zh-CN"/>
              </w:rPr>
            </w:pPr>
            <w:r>
              <w:rPr>
                <w:rFonts w:hint="eastAsia" w:ascii="Times New Roman" w:hAnsi="Times New Roman" w:eastAsia="仿宋" w:cs="仿宋"/>
                <w:b w:val="0"/>
                <w:bCs/>
                <w:color w:val="auto"/>
                <w:szCs w:val="21"/>
                <w:lang w:val="en-US" w:eastAsia="zh-CN"/>
              </w:rPr>
              <w:t>5</w:t>
            </w:r>
          </w:p>
        </w:tc>
        <w:tc>
          <w:tcPr>
            <w:tcW w:w="75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78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11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64"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2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73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default" w:ascii="Times New Roman" w:hAnsi="Times New Roman" w:eastAsia="仿宋" w:cs="仿宋"/>
                <w:b w:val="0"/>
                <w:bCs/>
                <w:color w:val="auto"/>
                <w:szCs w:val="21"/>
                <w:lang w:val="en-US" w:eastAsia="zh-CN"/>
              </w:rPr>
            </w:pPr>
            <w:r>
              <w:rPr>
                <w:rFonts w:hint="eastAsia" w:ascii="Times New Roman" w:hAnsi="Times New Roman" w:eastAsia="仿宋" w:cs="仿宋"/>
                <w:b w:val="0"/>
                <w:bCs/>
                <w:color w:val="auto"/>
                <w:szCs w:val="21"/>
                <w:lang w:val="en-US" w:eastAsia="zh-CN"/>
              </w:rPr>
              <w:t>6</w:t>
            </w:r>
          </w:p>
        </w:tc>
        <w:tc>
          <w:tcPr>
            <w:tcW w:w="75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78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11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64"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7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2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2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73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bl>
    <w:p>
      <w:pPr>
        <w:keepNext w:val="0"/>
        <w:keepLines w:val="0"/>
        <w:pageBreakBefore w:val="0"/>
        <w:kinsoku/>
        <w:wordWrap/>
        <w:overflowPunct/>
        <w:topLinePunct w:val="0"/>
        <w:autoSpaceDN/>
        <w:bidi w:val="0"/>
        <w:spacing w:line="570" w:lineRule="exact"/>
        <w:ind w:left="0" w:leftChars="0"/>
        <w:rPr>
          <w:rFonts w:hint="eastAsia" w:ascii="Times New Roman" w:hAnsi="Times New Roman" w:eastAsia="仿宋_GB2312" w:cs="仿宋_GB2312"/>
          <w:b w:val="0"/>
          <w:bCs/>
          <w:color w:val="auto"/>
          <w:spacing w:val="-11"/>
          <w:sz w:val="32"/>
          <w:szCs w:val="32"/>
        </w:rPr>
        <w:sectPr>
          <w:pgSz w:w="16838" w:h="11900" w:orient="landscape"/>
          <w:pgMar w:top="1644" w:right="2098" w:bottom="1417" w:left="1984" w:header="850" w:footer="992" w:gutter="0"/>
          <w:pgNumType w:fmt="numberInDash"/>
          <w:cols w:space="0" w:num="1"/>
          <w:rtlGutter w:val="0"/>
          <w:docGrid w:linePitch="312" w:charSpace="0"/>
        </w:sectPr>
      </w:pPr>
      <w:r>
        <w:rPr>
          <w:rFonts w:hint="eastAsia" w:ascii="Times New Roman" w:hAnsi="Times New Roman" w:eastAsia="仿宋_GB2312" w:cs="仿宋_GB2312"/>
          <w:b w:val="0"/>
          <w:bCs/>
          <w:color w:val="auto"/>
          <w:spacing w:val="-11"/>
          <w:kern w:val="0"/>
          <w:sz w:val="32"/>
          <w:szCs w:val="32"/>
        </w:rPr>
        <w:t>填表说明：各社区（村）根据辖区居民住宅小区和公共建筑信息进行填写，已完成的填写在前面。</w:t>
      </w:r>
    </w:p>
    <w:p>
      <w:pPr>
        <w:spacing w:line="560" w:lineRule="exact"/>
        <w:rPr>
          <w:rFonts w:hint="eastAsia" w:ascii="Times New Roman" w:hAnsi="Times New Roman" w:eastAsia="黑体" w:cs="黑体"/>
          <w:b w:val="0"/>
          <w:bCs/>
          <w:color w:val="auto"/>
          <w:kern w:val="0"/>
          <w:sz w:val="28"/>
          <w:szCs w:val="28"/>
          <w:lang w:val="en-US" w:eastAsia="zh-CN"/>
        </w:rPr>
      </w:pPr>
      <w:r>
        <w:rPr>
          <w:rFonts w:hint="eastAsia" w:ascii="Times New Roman" w:hAnsi="Times New Roman" w:eastAsia="黑体" w:cs="黑体"/>
          <w:b w:val="0"/>
          <w:bCs/>
          <w:color w:val="auto"/>
          <w:kern w:val="0"/>
          <w:sz w:val="28"/>
          <w:szCs w:val="28"/>
        </w:rPr>
        <w:t>附件</w:t>
      </w:r>
      <w:r>
        <w:rPr>
          <w:rFonts w:hint="eastAsia" w:ascii="Times New Roman" w:hAnsi="Times New Roman" w:eastAsia="黑体" w:cs="黑体"/>
          <w:b w:val="0"/>
          <w:bCs/>
          <w:color w:val="auto"/>
          <w:kern w:val="0"/>
          <w:sz w:val="28"/>
          <w:szCs w:val="28"/>
          <w:lang w:val="en-US" w:eastAsia="zh-CN"/>
        </w:rPr>
        <w:t>2-2：</w:t>
      </w:r>
    </w:p>
    <w:p>
      <w:pPr>
        <w:spacing w:line="560" w:lineRule="exact"/>
        <w:jc w:val="center"/>
        <w:rPr>
          <w:rFonts w:hint="eastAsia" w:ascii="Times New Roman" w:hAnsi="Times New Roman" w:eastAsia="方正小标宋简体" w:cs="Times New Roman"/>
          <w:b w:val="0"/>
          <w:bCs/>
          <w:color w:val="auto"/>
          <w:kern w:val="0"/>
          <w:sz w:val="44"/>
          <w:szCs w:val="40"/>
        </w:rPr>
      </w:pPr>
      <w:r>
        <w:rPr>
          <w:rFonts w:hint="eastAsia" w:ascii="Times New Roman" w:hAnsi="Times New Roman" w:eastAsia="方正小标宋简体" w:cs="Times New Roman"/>
          <w:b w:val="0"/>
          <w:bCs/>
          <w:color w:val="auto"/>
          <w:kern w:val="0"/>
          <w:sz w:val="44"/>
          <w:szCs w:val="40"/>
        </w:rPr>
        <w:t>天顶街道消防领域专项整治百日攻坚隐患清单及整改责任清单</w:t>
      </w:r>
    </w:p>
    <w:p>
      <w:pPr>
        <w:keepNext w:val="0"/>
        <w:keepLines w:val="0"/>
        <w:pageBreakBefore w:val="0"/>
        <w:kinsoku/>
        <w:wordWrap/>
        <w:overflowPunct/>
        <w:topLinePunct w:val="0"/>
        <w:autoSpaceDN/>
        <w:bidi w:val="0"/>
        <w:spacing w:line="570" w:lineRule="exact"/>
        <w:ind w:left="-2" w:leftChars="-400" w:right="-903" w:rightChars="-430" w:hanging="838" w:hangingChars="262"/>
        <w:jc w:val="both"/>
        <w:rPr>
          <w:rFonts w:hint="eastAsia" w:ascii="Times New Roman" w:hAnsi="Times New Roman" w:eastAsia="仿宋_GB2312" w:cs="仿宋_GB2312"/>
          <w:b w:val="0"/>
          <w:bCs/>
          <w:color w:val="auto"/>
          <w:kern w:val="0"/>
          <w:sz w:val="32"/>
          <w:szCs w:val="32"/>
        </w:rPr>
      </w:pPr>
      <w:r>
        <w:rPr>
          <w:rFonts w:hint="eastAsia" w:ascii="Times New Roman" w:hAnsi="Times New Roman" w:eastAsia="仿宋_GB2312" w:cs="仿宋_GB2312"/>
          <w:b w:val="0"/>
          <w:bCs/>
          <w:color w:val="auto"/>
          <w:kern w:val="0"/>
          <w:sz w:val="32"/>
          <w:szCs w:val="32"/>
        </w:rPr>
        <w:t>填报单位:             填报人及电话：           审核人：          填报时间：    年   月  日</w:t>
      </w:r>
    </w:p>
    <w:tbl>
      <w:tblPr>
        <w:tblStyle w:val="10"/>
        <w:tblW w:w="15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096"/>
        <w:gridCol w:w="1037"/>
        <w:gridCol w:w="1826"/>
        <w:gridCol w:w="660"/>
        <w:gridCol w:w="831"/>
        <w:gridCol w:w="1351"/>
        <w:gridCol w:w="1841"/>
        <w:gridCol w:w="866"/>
        <w:gridCol w:w="830"/>
        <w:gridCol w:w="1462"/>
        <w:gridCol w:w="829"/>
        <w:gridCol w:w="83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vMerge w:val="restart"/>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序号</w:t>
            </w:r>
          </w:p>
        </w:tc>
        <w:tc>
          <w:tcPr>
            <w:tcW w:w="10338" w:type="dxa"/>
            <w:gridSpan w:val="9"/>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隐患清单</w:t>
            </w:r>
          </w:p>
        </w:tc>
        <w:tc>
          <w:tcPr>
            <w:tcW w:w="4587" w:type="dxa"/>
            <w:gridSpan w:val="4"/>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隐患整改情况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continue"/>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09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检查时间</w:t>
            </w:r>
          </w:p>
        </w:tc>
        <w:tc>
          <w:tcPr>
            <w:tcW w:w="1037"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单位名称</w:t>
            </w:r>
          </w:p>
        </w:tc>
        <w:tc>
          <w:tcPr>
            <w:tcW w:w="182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单位地址</w:t>
            </w:r>
          </w:p>
        </w:tc>
        <w:tc>
          <w:tcPr>
            <w:tcW w:w="6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单位</w:t>
            </w:r>
          </w:p>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类别</w:t>
            </w:r>
          </w:p>
        </w:tc>
        <w:tc>
          <w:tcPr>
            <w:tcW w:w="83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单位</w:t>
            </w:r>
          </w:p>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联系人</w:t>
            </w:r>
          </w:p>
        </w:tc>
        <w:tc>
          <w:tcPr>
            <w:tcW w:w="13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联系人电话</w:t>
            </w:r>
          </w:p>
        </w:tc>
        <w:tc>
          <w:tcPr>
            <w:tcW w:w="184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隐患详情</w:t>
            </w:r>
          </w:p>
        </w:tc>
        <w:tc>
          <w:tcPr>
            <w:tcW w:w="86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发现</w:t>
            </w:r>
          </w:p>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隐患数</w:t>
            </w:r>
          </w:p>
        </w:tc>
        <w:tc>
          <w:tcPr>
            <w:tcW w:w="83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承办人</w:t>
            </w:r>
          </w:p>
        </w:tc>
        <w:tc>
          <w:tcPr>
            <w:tcW w:w="146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隐患整改详情及措施</w:t>
            </w:r>
          </w:p>
        </w:tc>
        <w:tc>
          <w:tcPr>
            <w:tcW w:w="82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整改</w:t>
            </w:r>
          </w:p>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时间</w:t>
            </w:r>
          </w:p>
        </w:tc>
        <w:tc>
          <w:tcPr>
            <w:tcW w:w="83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整改</w:t>
            </w:r>
          </w:p>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负责人</w:t>
            </w:r>
          </w:p>
        </w:tc>
        <w:tc>
          <w:tcPr>
            <w:tcW w:w="146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1</w:t>
            </w:r>
          </w:p>
        </w:tc>
        <w:tc>
          <w:tcPr>
            <w:tcW w:w="109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9.10</w:t>
            </w:r>
          </w:p>
        </w:tc>
        <w:tc>
          <w:tcPr>
            <w:tcW w:w="1037"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原则上与营业执照一致</w:t>
            </w:r>
          </w:p>
        </w:tc>
        <w:tc>
          <w:tcPr>
            <w:tcW w:w="182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XX街道XX路XX号</w:t>
            </w:r>
          </w:p>
        </w:tc>
        <w:tc>
          <w:tcPr>
            <w:tcW w:w="6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私企</w:t>
            </w:r>
          </w:p>
        </w:tc>
        <w:tc>
          <w:tcPr>
            <w:tcW w:w="83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xxx</w:t>
            </w:r>
          </w:p>
        </w:tc>
        <w:tc>
          <w:tcPr>
            <w:tcW w:w="13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139XXXXXXXX</w:t>
            </w:r>
          </w:p>
        </w:tc>
        <w:tc>
          <w:tcPr>
            <w:tcW w:w="184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1XXXXXXXX；</w:t>
            </w:r>
          </w:p>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2.XXXXXXXX。</w:t>
            </w:r>
          </w:p>
        </w:tc>
        <w:tc>
          <w:tcPr>
            <w:tcW w:w="86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2</w:t>
            </w:r>
          </w:p>
        </w:tc>
        <w:tc>
          <w:tcPr>
            <w:tcW w:w="83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检查人</w:t>
            </w:r>
          </w:p>
        </w:tc>
        <w:tc>
          <w:tcPr>
            <w:tcW w:w="146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1.xxxxxxxx；</w:t>
            </w:r>
          </w:p>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2.xxxxxxxx.</w:t>
            </w:r>
          </w:p>
        </w:tc>
        <w:tc>
          <w:tcPr>
            <w:tcW w:w="82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9.15</w:t>
            </w:r>
          </w:p>
        </w:tc>
        <w:tc>
          <w:tcPr>
            <w:tcW w:w="83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xxx</w:t>
            </w:r>
          </w:p>
        </w:tc>
        <w:tc>
          <w:tcPr>
            <w:tcW w:w="146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139xxxxxxxx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2</w:t>
            </w:r>
          </w:p>
        </w:tc>
        <w:tc>
          <w:tcPr>
            <w:tcW w:w="109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037"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2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6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4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6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2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3</w:t>
            </w:r>
          </w:p>
        </w:tc>
        <w:tc>
          <w:tcPr>
            <w:tcW w:w="109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037"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2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6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4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6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2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4</w:t>
            </w:r>
          </w:p>
        </w:tc>
        <w:tc>
          <w:tcPr>
            <w:tcW w:w="109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037"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2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6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4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6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2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lang w:val="en-US" w:eastAsia="zh-CN"/>
              </w:rPr>
            </w:pPr>
            <w:r>
              <w:rPr>
                <w:rFonts w:hint="eastAsia" w:ascii="Times New Roman" w:hAnsi="Times New Roman" w:eastAsia="仿宋" w:cs="仿宋"/>
                <w:b w:val="0"/>
                <w:bCs/>
                <w:color w:val="auto"/>
                <w:szCs w:val="21"/>
                <w:lang w:val="en-US" w:eastAsia="zh-CN"/>
              </w:rPr>
              <w:t>5</w:t>
            </w:r>
          </w:p>
        </w:tc>
        <w:tc>
          <w:tcPr>
            <w:tcW w:w="109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037"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2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6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4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6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2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lang w:val="en-US" w:eastAsia="zh-CN"/>
              </w:rPr>
            </w:pPr>
            <w:r>
              <w:rPr>
                <w:rFonts w:hint="eastAsia" w:ascii="Times New Roman" w:hAnsi="Times New Roman" w:eastAsia="仿宋" w:cs="仿宋"/>
                <w:b w:val="0"/>
                <w:bCs/>
                <w:color w:val="auto"/>
                <w:szCs w:val="21"/>
                <w:lang w:val="en-US" w:eastAsia="zh-CN"/>
              </w:rPr>
              <w:t>6</w:t>
            </w:r>
          </w:p>
        </w:tc>
        <w:tc>
          <w:tcPr>
            <w:tcW w:w="109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037"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2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6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3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84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66"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2"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2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835"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6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bl>
    <w:p>
      <w:pPr>
        <w:keepNext w:val="0"/>
        <w:keepLines w:val="0"/>
        <w:pageBreakBefore w:val="0"/>
        <w:kinsoku/>
        <w:wordWrap/>
        <w:overflowPunct/>
        <w:topLinePunct w:val="0"/>
        <w:autoSpaceDN/>
        <w:bidi w:val="0"/>
        <w:spacing w:line="570" w:lineRule="exact"/>
        <w:ind w:left="-1" w:leftChars="-200" w:hanging="419" w:hangingChars="131"/>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填报说明：此表由各社区（村）针对本辖区，</w:t>
      </w:r>
      <w:r>
        <w:rPr>
          <w:rFonts w:hint="eastAsia" w:ascii="Times New Roman" w:hAnsi="Times New Roman" w:eastAsia="仿宋_GB2312" w:cs="仿宋_GB2312"/>
          <w:b w:val="0"/>
          <w:bCs/>
          <w:color w:val="auto"/>
          <w:sz w:val="32"/>
          <w:szCs w:val="32"/>
          <w:lang w:eastAsia="zh-CN"/>
        </w:rPr>
        <w:t>各办（所、站、队）</w:t>
      </w:r>
      <w:r>
        <w:rPr>
          <w:rFonts w:hint="eastAsia" w:ascii="Times New Roman" w:hAnsi="Times New Roman" w:eastAsia="仿宋_GB2312" w:cs="仿宋_GB2312"/>
          <w:b w:val="0"/>
          <w:bCs/>
          <w:color w:val="auto"/>
          <w:sz w:val="32"/>
          <w:szCs w:val="32"/>
        </w:rPr>
        <w:t>针对行业排查整治情况填报。</w:t>
      </w:r>
    </w:p>
    <w:p>
      <w:pPr>
        <w:keepNext w:val="0"/>
        <w:keepLines w:val="0"/>
        <w:pageBreakBefore w:val="0"/>
        <w:kinsoku/>
        <w:wordWrap/>
        <w:overflowPunct/>
        <w:topLinePunct w:val="0"/>
        <w:autoSpaceDN/>
        <w:bidi w:val="0"/>
        <w:spacing w:line="570" w:lineRule="exact"/>
        <w:ind w:left="0" w:leftChars="0"/>
        <w:rPr>
          <w:rFonts w:hint="eastAsia" w:ascii="Times New Roman" w:hAnsi="Times New Roman" w:eastAsia="仿宋_GB2312" w:cs="仿宋_GB2312"/>
          <w:b w:val="0"/>
          <w:bCs/>
          <w:color w:val="auto"/>
          <w:sz w:val="32"/>
          <w:szCs w:val="32"/>
        </w:rPr>
        <w:sectPr>
          <w:pgSz w:w="16838" w:h="11900" w:orient="landscape"/>
          <w:pgMar w:top="1644" w:right="2098" w:bottom="1417" w:left="1984" w:header="850" w:footer="992" w:gutter="0"/>
          <w:pgNumType w:fmt="numberInDash"/>
          <w:cols w:space="0" w:num="1"/>
          <w:rtlGutter w:val="0"/>
          <w:docGrid w:linePitch="312" w:charSpace="0"/>
        </w:sectPr>
      </w:pPr>
    </w:p>
    <w:p>
      <w:pPr>
        <w:spacing w:line="560" w:lineRule="exact"/>
        <w:rPr>
          <w:rFonts w:hint="eastAsia" w:ascii="Times New Roman" w:hAnsi="Times New Roman" w:eastAsia="黑体" w:cs="黑体"/>
          <w:b w:val="0"/>
          <w:bCs/>
          <w:color w:val="auto"/>
          <w:kern w:val="0"/>
          <w:sz w:val="28"/>
          <w:szCs w:val="28"/>
        </w:rPr>
      </w:pPr>
      <w:r>
        <w:rPr>
          <w:rFonts w:hint="eastAsia" w:ascii="Times New Roman" w:hAnsi="Times New Roman" w:eastAsia="黑体" w:cs="黑体"/>
          <w:b w:val="0"/>
          <w:bCs/>
          <w:color w:val="auto"/>
          <w:kern w:val="0"/>
          <w:sz w:val="28"/>
          <w:szCs w:val="28"/>
        </w:rPr>
        <w:t>附件</w:t>
      </w:r>
      <w:r>
        <w:rPr>
          <w:rFonts w:hint="eastAsia" w:ascii="Times New Roman" w:hAnsi="Times New Roman" w:eastAsia="黑体" w:cs="黑体"/>
          <w:b w:val="0"/>
          <w:bCs/>
          <w:color w:val="auto"/>
          <w:kern w:val="0"/>
          <w:sz w:val="28"/>
          <w:szCs w:val="28"/>
          <w:lang w:val="en-US" w:eastAsia="zh-CN"/>
        </w:rPr>
        <w:t>2-3</w:t>
      </w:r>
      <w:r>
        <w:rPr>
          <w:rFonts w:hint="eastAsia" w:ascii="Times New Roman" w:hAnsi="Times New Roman" w:eastAsia="黑体" w:cs="黑体"/>
          <w:b w:val="0"/>
          <w:bCs/>
          <w:color w:val="auto"/>
          <w:kern w:val="0"/>
          <w:sz w:val="28"/>
          <w:szCs w:val="28"/>
        </w:rPr>
        <w:t>：</w:t>
      </w:r>
    </w:p>
    <w:p>
      <w:pPr>
        <w:spacing w:line="560" w:lineRule="exact"/>
        <w:jc w:val="center"/>
        <w:rPr>
          <w:rFonts w:hint="eastAsia" w:ascii="Times New Roman" w:hAnsi="Times New Roman" w:eastAsia="方正小标宋简体" w:cs="Times New Roman"/>
          <w:b w:val="0"/>
          <w:bCs/>
          <w:color w:val="auto"/>
          <w:kern w:val="0"/>
          <w:sz w:val="44"/>
          <w:szCs w:val="40"/>
        </w:rPr>
      </w:pPr>
      <w:r>
        <w:rPr>
          <w:rFonts w:hint="eastAsia" w:ascii="Times New Roman" w:hAnsi="Times New Roman" w:eastAsia="方正小标宋简体" w:cs="Times New Roman"/>
          <w:b w:val="0"/>
          <w:bCs/>
          <w:color w:val="auto"/>
          <w:kern w:val="0"/>
          <w:sz w:val="44"/>
          <w:szCs w:val="40"/>
        </w:rPr>
        <w:t>天顶街道艺考类培训机构摸底排查整治清单</w:t>
      </w:r>
    </w:p>
    <w:p>
      <w:pPr>
        <w:keepNext w:val="0"/>
        <w:keepLines w:val="0"/>
        <w:pageBreakBefore w:val="0"/>
        <w:kinsoku/>
        <w:wordWrap/>
        <w:overflowPunct/>
        <w:topLinePunct w:val="0"/>
        <w:autoSpaceDN/>
        <w:bidi w:val="0"/>
        <w:spacing w:line="570" w:lineRule="exact"/>
        <w:ind w:left="-1" w:leftChars="-494" w:right="-683" w:rightChars="-325" w:hanging="1036" w:hangingChars="324"/>
        <w:jc w:val="both"/>
        <w:rPr>
          <w:rFonts w:hint="eastAsia" w:ascii="Times New Roman" w:hAnsi="Times New Roman" w:eastAsia="仿宋_GB2312" w:cs="仿宋_GB2312"/>
          <w:b w:val="0"/>
          <w:bCs/>
          <w:color w:val="auto"/>
          <w:kern w:val="0"/>
          <w:sz w:val="32"/>
          <w:szCs w:val="32"/>
        </w:rPr>
      </w:pPr>
      <w:r>
        <w:rPr>
          <w:rFonts w:hint="eastAsia" w:ascii="Times New Roman" w:hAnsi="Times New Roman" w:eastAsia="仿宋_GB2312" w:cs="仿宋_GB2312"/>
          <w:b w:val="0"/>
          <w:bCs/>
          <w:color w:val="auto"/>
          <w:kern w:val="0"/>
          <w:sz w:val="32"/>
          <w:szCs w:val="32"/>
        </w:rPr>
        <w:t>填报单位:             填报人及电话：           审核人：          填报时间：    年   月  日</w:t>
      </w:r>
    </w:p>
    <w:tbl>
      <w:tblPr>
        <w:tblStyle w:val="10"/>
        <w:tblW w:w="14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468"/>
        <w:gridCol w:w="2481"/>
        <w:gridCol w:w="1281"/>
        <w:gridCol w:w="1451"/>
        <w:gridCol w:w="1260"/>
        <w:gridCol w:w="1260"/>
        <w:gridCol w:w="315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3"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序号</w:t>
            </w:r>
          </w:p>
        </w:tc>
        <w:tc>
          <w:tcPr>
            <w:tcW w:w="146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单位名称</w:t>
            </w:r>
          </w:p>
        </w:tc>
        <w:tc>
          <w:tcPr>
            <w:tcW w:w="24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单位地址</w:t>
            </w:r>
          </w:p>
        </w:tc>
        <w:tc>
          <w:tcPr>
            <w:tcW w:w="12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单位联系人</w:t>
            </w:r>
          </w:p>
        </w:tc>
        <w:tc>
          <w:tcPr>
            <w:tcW w:w="14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联系人电话</w:t>
            </w: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检查时间</w:t>
            </w: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检查人</w:t>
            </w:r>
          </w:p>
        </w:tc>
        <w:tc>
          <w:tcPr>
            <w:tcW w:w="315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隐患详情</w:t>
            </w:r>
          </w:p>
        </w:tc>
        <w:tc>
          <w:tcPr>
            <w:tcW w:w="156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隐患整改情况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3"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1</w:t>
            </w:r>
          </w:p>
        </w:tc>
        <w:tc>
          <w:tcPr>
            <w:tcW w:w="146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24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315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56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3"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2</w:t>
            </w:r>
          </w:p>
        </w:tc>
        <w:tc>
          <w:tcPr>
            <w:tcW w:w="146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24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315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56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3"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3</w:t>
            </w:r>
          </w:p>
        </w:tc>
        <w:tc>
          <w:tcPr>
            <w:tcW w:w="146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24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315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56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3"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4</w:t>
            </w:r>
          </w:p>
        </w:tc>
        <w:tc>
          <w:tcPr>
            <w:tcW w:w="146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24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315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56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3"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5</w:t>
            </w:r>
          </w:p>
        </w:tc>
        <w:tc>
          <w:tcPr>
            <w:tcW w:w="146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24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315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56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3"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6</w:t>
            </w:r>
          </w:p>
        </w:tc>
        <w:tc>
          <w:tcPr>
            <w:tcW w:w="146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24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315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56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3"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r>
              <w:rPr>
                <w:rFonts w:hint="eastAsia" w:ascii="Times New Roman" w:hAnsi="Times New Roman" w:eastAsia="仿宋" w:cs="仿宋"/>
                <w:b w:val="0"/>
                <w:bCs/>
                <w:color w:val="auto"/>
                <w:szCs w:val="21"/>
              </w:rPr>
              <w:t>7</w:t>
            </w:r>
          </w:p>
        </w:tc>
        <w:tc>
          <w:tcPr>
            <w:tcW w:w="146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24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315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56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3"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lang w:val="en-US" w:eastAsia="zh-CN"/>
              </w:rPr>
            </w:pPr>
            <w:r>
              <w:rPr>
                <w:rFonts w:hint="eastAsia" w:ascii="Times New Roman" w:hAnsi="Times New Roman" w:eastAsia="仿宋" w:cs="仿宋"/>
                <w:b w:val="0"/>
                <w:bCs/>
                <w:color w:val="auto"/>
                <w:szCs w:val="21"/>
                <w:lang w:val="en-US" w:eastAsia="zh-CN"/>
              </w:rPr>
              <w:t>8</w:t>
            </w:r>
          </w:p>
        </w:tc>
        <w:tc>
          <w:tcPr>
            <w:tcW w:w="1468"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24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8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451"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26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3150"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c>
          <w:tcPr>
            <w:tcW w:w="1569" w:type="dxa"/>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imes New Roman" w:hAnsi="Times New Roman" w:eastAsia="仿宋" w:cs="仿宋"/>
                <w:b w:val="0"/>
                <w:bCs/>
                <w:color w:val="auto"/>
                <w:szCs w:val="21"/>
              </w:rPr>
            </w:pPr>
          </w:p>
        </w:tc>
      </w:tr>
    </w:tbl>
    <w:p>
      <w:pPr>
        <w:keepNext w:val="0"/>
        <w:keepLines w:val="0"/>
        <w:pageBreakBefore w:val="0"/>
        <w:kinsoku/>
        <w:wordWrap/>
        <w:overflowPunct/>
        <w:topLinePunct w:val="0"/>
        <w:autoSpaceDN/>
        <w:bidi w:val="0"/>
        <w:spacing w:line="570" w:lineRule="exact"/>
        <w:ind w:left="0" w:leftChars="0"/>
        <w:rPr>
          <w:rFonts w:hint="eastAsia" w:ascii="Times New Roman" w:hAnsi="Times New Roman" w:eastAsia="仿宋_GB2312" w:cs="仿宋_GB2312"/>
          <w:b w:val="0"/>
          <w:bCs/>
          <w:color w:val="auto"/>
          <w:kern w:val="0"/>
          <w:sz w:val="32"/>
          <w:szCs w:val="32"/>
        </w:rPr>
        <w:sectPr>
          <w:footerReference r:id="rId8" w:type="default"/>
          <w:pgSz w:w="16838" w:h="11900" w:orient="landscape"/>
          <w:pgMar w:top="1644" w:right="2098" w:bottom="1417" w:left="1984" w:header="850" w:footer="992" w:gutter="0"/>
          <w:pgNumType w:fmt="numberInDash"/>
          <w:cols w:space="0" w:num="1"/>
          <w:rtlGutter w:val="0"/>
          <w:docGrid w:linePitch="312" w:charSpace="0"/>
        </w:sectPr>
      </w:pPr>
      <w:r>
        <w:rPr>
          <w:rFonts w:hint="eastAsia" w:ascii="Times New Roman" w:hAnsi="Times New Roman" w:eastAsia="仿宋_GB2312" w:cs="仿宋_GB2312"/>
          <w:b w:val="0"/>
          <w:bCs/>
          <w:color w:val="auto"/>
          <w:kern w:val="0"/>
          <w:sz w:val="32"/>
          <w:szCs w:val="32"/>
        </w:rPr>
        <w:t>填表说明：此表由党政综合办填报，百日攻坚行动期间，需对全街所有艺考类培训机构消防安全隐患进行一次全面摸底排查，形成工作台账。</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4288B"/>
    <w:rsid w:val="09442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atLeast"/>
      <w:jc w:val="both"/>
    </w:pPr>
    <w:rPr>
      <w:rFonts w:ascii="Calibri" w:hAnsi="Calibri" w:eastAsia="宋体" w:cs="Times New Roman"/>
      <w:kern w:val="2"/>
      <w:sz w:val="21"/>
      <w:szCs w:val="22"/>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annotation subject"/>
    <w:basedOn w:val="5"/>
    <w:next w:val="1"/>
    <w:qFormat/>
    <w:uiPriority w:val="0"/>
    <w:rPr>
      <w:b/>
      <w:bCs/>
    </w:rPr>
  </w:style>
  <w:style w:type="paragraph" w:styleId="5">
    <w:name w:val="annotation text"/>
    <w:basedOn w:val="1"/>
    <w:semiHidden/>
    <w:qFormat/>
    <w:uiPriority w:val="0"/>
    <w:pPr>
      <w:jc w:val="left"/>
    </w:pPr>
    <w:rPr>
      <w:kern w:val="0"/>
      <w:sz w:val="20"/>
    </w:rPr>
  </w:style>
  <w:style w:type="paragraph" w:styleId="6">
    <w:name w:val="Body Text"/>
    <w:basedOn w:val="1"/>
    <w:qFormat/>
    <w:uiPriority w:val="0"/>
    <w:pPr>
      <w:spacing w:after="120"/>
    </w:pPr>
  </w:style>
  <w:style w:type="paragraph" w:styleId="7">
    <w:name w:val="footer"/>
    <w:basedOn w:val="1"/>
    <w:unhideWhenUsed/>
    <w:qFormat/>
    <w:uiPriority w:val="0"/>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9">
    <w:name w:val="Body Text First Indent"/>
    <w:basedOn w:val="6"/>
    <w:qFormat/>
    <w:uiPriority w:val="0"/>
    <w:pPr>
      <w:ind w:firstLine="660"/>
    </w:pPr>
  </w:style>
  <w:style w:type="character" w:styleId="12">
    <w:name w:val="page number"/>
    <w:basedOn w:val="11"/>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2021-10-18T06:34:00Z</dcterms:created>
  <dc:creator>思思</dc:creator>
  <cp:lastModifiedBy>思思</cp:lastModifiedBy>
  <dcterms:modified xsi:type="dcterms:W3CDTF">2021-10-18T06:37:56Z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FB1EB02E22124F81977DFB2B341F63D2</vt:lpwstr>
  </property>
</Properties>
</file>