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36"/>
          <w:szCs w:val="36"/>
        </w:rPr>
      </w:pPr>
      <w:bookmarkStart w:id="0" w:name="_GoBack"/>
      <w:bookmarkEnd w:id="0"/>
      <w:r>
        <w:rPr>
          <w:rFonts w:hint="eastAsia" w:ascii="方正小标宋简体" w:hAnsi="方正小标宋简体" w:eastAsia="方正小标宋简体" w:cs="方正小标宋简体"/>
          <w:sz w:val="44"/>
          <w:szCs w:val="44"/>
        </w:rPr>
        <w:t>2021年度坪塘街道公路项目单位专项资金绩效自评报告</w:t>
      </w:r>
    </w:p>
    <w:p>
      <w:pPr>
        <w:spacing w:line="580" w:lineRule="exact"/>
        <w:ind w:firstLine="600" w:firstLineChars="200"/>
        <w:rPr>
          <w:rFonts w:eastAsia="黑体"/>
          <w:sz w:val="30"/>
          <w:szCs w:val="30"/>
        </w:rPr>
      </w:pPr>
    </w:p>
    <w:p>
      <w:pPr>
        <w:spacing w:line="580" w:lineRule="exact"/>
        <w:ind w:firstLine="640" w:firstLineChars="200"/>
        <w:rPr>
          <w:rFonts w:eastAsia="黑体"/>
          <w:sz w:val="30"/>
          <w:szCs w:val="30"/>
        </w:rPr>
      </w:pPr>
      <w:r>
        <w:rPr>
          <w:rFonts w:eastAsia="黑体"/>
          <w:sz w:val="32"/>
          <w:szCs w:val="32"/>
        </w:rPr>
        <w:t>一、预算支出基本情况</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（一）预算支出概况。</w:t>
      </w:r>
      <w:r>
        <w:rPr>
          <w:rFonts w:hint="eastAsia" w:ascii="仿宋_GB2312" w:hAnsi="仿宋_GB2312" w:eastAsia="仿宋_GB2312" w:cs="仿宋_GB2312"/>
          <w:sz w:val="32"/>
          <w:szCs w:val="32"/>
        </w:rPr>
        <w:t>为全面贯彻党的十九大精神，以习近平新时代中国特色社会主义思想为指导，贯彻落实省人民政府《关于高质量推进“四好农村路”建设工作的实施意见》(湘政发(2019)9号)《长沙市乡村振兴战略规划(2018-2022年)》文件精神，结合《岳麓区乡村振兴战略村组公路四年建设实施方案(2019-2022年)》，领导小组对2020年建设计划进行了全面调查摸底，编制了《乡村振兴战略-岳麓区2020年通村(组)公路建设项目建议计划表》，并下达计划：1、根据岳农路组[2020]5号关于下达2020年全区通村（组）公路建设项目计划的通知完成通村公路17.1公里；2、根据岳农路组[2020]15号关于下达2020年全区通村（组）公路建设项目计划的通知完成通村公路5公里；3、完成公路提质改造计划22.1公里。12月30日前我街已全部完工，完成率100%，</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（二）预算资金使用管理情况。</w:t>
      </w:r>
      <w:r>
        <w:rPr>
          <w:rFonts w:hint="eastAsia" w:ascii="仿宋_GB2312" w:hAnsi="仿宋_GB2312" w:eastAsia="仿宋_GB2312" w:cs="仿宋_GB2312"/>
          <w:sz w:val="32"/>
          <w:szCs w:val="32"/>
        </w:rPr>
        <w:t>建立了资金使用和项目管理制度，项目资金严格专款专用。资金支付及下拨及时。项目由区交通局统一立项、申报、评审、监督管理、验收，严格按照区交通局下达计划完成。</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（三）预算支出绩效目标完成程度。</w:t>
      </w:r>
      <w:r>
        <w:rPr>
          <w:rFonts w:hint="eastAsia" w:ascii="仿宋_GB2312" w:hAnsi="仿宋_GB2312" w:eastAsia="仿宋_GB2312" w:cs="仿宋_GB2312"/>
          <w:sz w:val="32"/>
          <w:szCs w:val="32"/>
        </w:rPr>
        <w:t>2021年度完成了农村公路建设22.1km路基路面建设和简易安保设施建设，使附近居民出行方便，砂石路面变为水泥路面，减少路面尘土污染，附近居民80%满意公路建设情况。</w:t>
      </w:r>
    </w:p>
    <w:p>
      <w:pPr>
        <w:spacing w:line="580" w:lineRule="exact"/>
        <w:ind w:firstLine="640" w:firstLineChars="200"/>
        <w:rPr>
          <w:rFonts w:eastAsia="黑体"/>
          <w:sz w:val="30"/>
          <w:szCs w:val="30"/>
        </w:rPr>
      </w:pPr>
      <w:r>
        <w:rPr>
          <w:rFonts w:eastAsia="黑体"/>
          <w:sz w:val="32"/>
          <w:szCs w:val="32"/>
        </w:rPr>
        <w:t>二、绩效评价工作情况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（一）绩效评价目的、对象和范围</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绩效评价的目的是为了加强对公路专项资金的监管力度，提高资金的产出效率，总结项目的建设成效，查找资金项目管理中存在的问题，为以后年度资金的合理分配与科学使用提供参考。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（二）绩效评价原则、评价指标体系、评价方法、评价标准等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绩效评价原则</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的依据是《岳麓区乡村振兴战略村组公路四年建设实施方案(2019-2022年)》、《乡村振兴战略-岳麓区2020年通村(组)公路建设项目建议计划表》、岳农路组[2020]5号关于下达2020年全区通村（组）公路建设项目计划的通知、岳农路组[2020]15号关于下达2020年全区通村（组）公路建设项目计划的通知等文件。</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评价方法</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本次绩效评价采用现场抽芯评定的方式，根据项目建设单位的工程资料、检测单位抽芯检测结果、项目管理单位的文件和其他相关资料进行分析，提出评价意见。</w:t>
      </w:r>
    </w:p>
    <w:p>
      <w:pPr>
        <w:numPr>
          <w:ilvl w:val="0"/>
          <w:numId w:val="1"/>
        </w:numPr>
        <w:spacing w:line="580" w:lineRule="exact"/>
        <w:ind w:firstLine="640" w:firstLineChars="200"/>
        <w:rPr>
          <w:rFonts w:eastAsia="黑体"/>
          <w:sz w:val="32"/>
          <w:szCs w:val="32"/>
        </w:rPr>
      </w:pPr>
      <w:r>
        <w:rPr>
          <w:rFonts w:eastAsia="黑体"/>
          <w:sz w:val="32"/>
          <w:szCs w:val="32"/>
        </w:rPr>
        <w:t>预算支出主要绩效及评价结论</w:t>
      </w:r>
    </w:p>
    <w:p>
      <w:pPr>
        <w:spacing w:line="600" w:lineRule="exact"/>
        <w:jc w:val="both"/>
        <w:rPr>
          <w:rFonts w:ascii="宋体" w:hAnsi="宋体" w:eastAsia="黑体"/>
          <w:sz w:val="32"/>
          <w:szCs w:val="32"/>
        </w:rPr>
      </w:pPr>
    </w:p>
    <w:p>
      <w:pPr>
        <w:spacing w:line="600" w:lineRule="exact"/>
        <w:ind w:firstLine="2560" w:firstLineChars="800"/>
        <w:rPr>
          <w:rFonts w:ascii="宋体" w:hAnsi="宋体" w:eastAsia="黑体"/>
          <w:sz w:val="32"/>
          <w:szCs w:val="32"/>
        </w:rPr>
      </w:pPr>
      <w:r>
        <w:rPr>
          <w:rFonts w:hint="eastAsia" w:ascii="宋体" w:hAnsi="宋体" w:eastAsia="黑体"/>
          <w:sz w:val="32"/>
          <w:szCs w:val="32"/>
        </w:rPr>
        <w:t>绩效评价指标评分表</w:t>
      </w:r>
    </w:p>
    <w:tbl>
      <w:tblPr>
        <w:tblStyle w:val="4"/>
        <w:tblW w:w="822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867"/>
        <w:gridCol w:w="1259"/>
        <w:gridCol w:w="901"/>
        <w:gridCol w:w="174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293"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一级指标</w:t>
            </w:r>
          </w:p>
        </w:tc>
        <w:tc>
          <w:tcPr>
            <w:tcW w:w="867"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259" w:type="dxa"/>
            <w:tcBorders>
              <w:bottom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二级指标</w:t>
            </w:r>
          </w:p>
        </w:tc>
        <w:tc>
          <w:tcPr>
            <w:tcW w:w="901"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三级指标</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分值</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9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项目决策</w:t>
            </w:r>
          </w:p>
        </w:tc>
        <w:tc>
          <w:tcPr>
            <w:tcW w:w="8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2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项目目标</w:t>
            </w:r>
          </w:p>
        </w:tc>
        <w:tc>
          <w:tcPr>
            <w:tcW w:w="901" w:type="dxa"/>
            <w:tcBorders>
              <w:lef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目标内容</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决策过程</w:t>
            </w:r>
          </w:p>
        </w:tc>
        <w:tc>
          <w:tcPr>
            <w:tcW w:w="901" w:type="dxa"/>
            <w:vMerge w:val="restart"/>
            <w:tcBorders>
              <w:lef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决策依据</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tcBorders>
              <w:lef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决策程序</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资金分配</w:t>
            </w:r>
          </w:p>
        </w:tc>
        <w:tc>
          <w:tcPr>
            <w:tcW w:w="901" w:type="dxa"/>
            <w:vMerge w:val="restart"/>
            <w:tcBorders>
              <w:lef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分配办法</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tcBorders>
              <w:lef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分配结果</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restart"/>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项目管理</w:t>
            </w:r>
          </w:p>
          <w:p>
            <w:pPr>
              <w:jc w:val="center"/>
              <w:rPr>
                <w:rFonts w:ascii="仿宋_GB2312" w:hAnsi="宋体" w:eastAsia="仿宋_GB2312" w:cs="宋体"/>
                <w:color w:val="000000"/>
                <w:kern w:val="0"/>
                <w:sz w:val="24"/>
              </w:rPr>
            </w:pPr>
          </w:p>
        </w:tc>
        <w:tc>
          <w:tcPr>
            <w:tcW w:w="867" w:type="dxa"/>
            <w:vMerge w:val="restart"/>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p>
            <w:pPr>
              <w:jc w:val="center"/>
              <w:rPr>
                <w:rFonts w:ascii="仿宋_GB2312" w:hAnsi="宋体" w:eastAsia="仿宋_GB2312" w:cs="宋体"/>
                <w:color w:val="000000"/>
                <w:kern w:val="0"/>
                <w:sz w:val="24"/>
              </w:rPr>
            </w:pPr>
          </w:p>
          <w:p>
            <w:pPr>
              <w:jc w:val="center"/>
              <w:rPr>
                <w:rFonts w:ascii="仿宋_GB2312" w:hAnsi="宋体" w:eastAsia="仿宋_GB2312" w:cs="宋体"/>
                <w:color w:val="000000"/>
                <w:kern w:val="0"/>
                <w:sz w:val="24"/>
              </w:rPr>
            </w:pPr>
          </w:p>
        </w:tc>
        <w:tc>
          <w:tcPr>
            <w:tcW w:w="1259" w:type="dxa"/>
            <w:vMerge w:val="restart"/>
            <w:tcBorders>
              <w:top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资金到位</w:t>
            </w:r>
          </w:p>
        </w:tc>
        <w:tc>
          <w:tcPr>
            <w:tcW w:w="901" w:type="dxa"/>
            <w:vMerge w:val="restart"/>
            <w:shd w:val="clear" w:color="auto" w:fill="auto"/>
            <w:noWrap/>
            <w:vAlign w:val="center"/>
          </w:tcPr>
          <w:p>
            <w:pPr>
              <w:widowControl/>
              <w:jc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5</w:t>
            </w:r>
          </w:p>
        </w:tc>
        <w:tc>
          <w:tcPr>
            <w:tcW w:w="1740" w:type="dxa"/>
            <w:shd w:val="clear" w:color="auto" w:fill="auto"/>
            <w:noWrap/>
            <w:vAlign w:val="center"/>
          </w:tcPr>
          <w:p>
            <w:pPr>
              <w:widowControl/>
              <w:jc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到位率</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到位时效</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jc w:val="center"/>
              <w:rPr>
                <w:rFonts w:ascii="仿宋_GB2312" w:hAnsi="宋体" w:eastAsia="仿宋_GB2312" w:cs="宋体"/>
                <w:color w:val="000000"/>
                <w:kern w:val="0"/>
                <w:sz w:val="24"/>
              </w:rPr>
            </w:pPr>
          </w:p>
        </w:tc>
        <w:tc>
          <w:tcPr>
            <w:tcW w:w="1259"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资金管理</w:t>
            </w:r>
          </w:p>
        </w:tc>
        <w:tc>
          <w:tcPr>
            <w:tcW w:w="901"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资金使用</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财务管理</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jc w:val="center"/>
              <w:rPr>
                <w:rFonts w:ascii="仿宋_GB2312" w:hAnsi="宋体" w:eastAsia="仿宋_GB2312" w:cs="宋体"/>
                <w:color w:val="000000"/>
                <w:kern w:val="0"/>
                <w:sz w:val="24"/>
              </w:rPr>
            </w:pPr>
          </w:p>
        </w:tc>
        <w:tc>
          <w:tcPr>
            <w:tcW w:w="1259"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组织实施</w:t>
            </w:r>
          </w:p>
        </w:tc>
        <w:tc>
          <w:tcPr>
            <w:tcW w:w="901"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组织机构</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管理制度</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项目绩效</w:t>
            </w:r>
          </w:p>
        </w:tc>
        <w:tc>
          <w:tcPr>
            <w:tcW w:w="867"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55</w:t>
            </w:r>
          </w:p>
        </w:tc>
        <w:tc>
          <w:tcPr>
            <w:tcW w:w="1259"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项目产出</w:t>
            </w:r>
          </w:p>
        </w:tc>
        <w:tc>
          <w:tcPr>
            <w:tcW w:w="901"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产出数量</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产出质量</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产出时效</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产出成本</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项目效益</w:t>
            </w:r>
          </w:p>
        </w:tc>
        <w:tc>
          <w:tcPr>
            <w:tcW w:w="901" w:type="dxa"/>
            <w:vMerge w:val="restart"/>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40</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经济效益</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社会效益</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环境效益</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可持续影响</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93"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867"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259"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901" w:type="dxa"/>
            <w:vMerge w:val="continue"/>
            <w:shd w:val="clear" w:color="auto" w:fill="auto"/>
            <w:noWrap/>
            <w:vAlign w:val="center"/>
          </w:tcPr>
          <w:p>
            <w:pPr>
              <w:widowControl/>
              <w:jc w:val="center"/>
              <w:rPr>
                <w:rFonts w:ascii="仿宋_GB2312" w:hAnsi="宋体" w:eastAsia="仿宋_GB2312" w:cs="宋体"/>
                <w:color w:val="000000"/>
                <w:kern w:val="0"/>
                <w:sz w:val="24"/>
              </w:rPr>
            </w:pP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服务对象满意度</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293" w:type="dxa"/>
            <w:shd w:val="clear" w:color="auto" w:fill="auto"/>
            <w:noWrap/>
            <w:vAlign w:val="center"/>
          </w:tcPr>
          <w:p>
            <w:pPr>
              <w:widowControl/>
              <w:ind w:firstLine="120" w:firstLineChars="50"/>
              <w:rPr>
                <w:rFonts w:ascii="仿宋_GB2312" w:hAnsi="宋体" w:eastAsia="仿宋_GB2312" w:cs="宋体"/>
                <w:color w:val="000000"/>
                <w:kern w:val="0"/>
                <w:sz w:val="24"/>
              </w:rPr>
            </w:pPr>
            <w:r>
              <w:rPr>
                <w:rFonts w:hint="eastAsia" w:ascii="仿宋_GB2312" w:hAnsi="宋体" w:eastAsia="仿宋_GB2312" w:cs="宋体"/>
                <w:color w:val="000000"/>
                <w:kern w:val="0"/>
                <w:sz w:val="24"/>
              </w:rPr>
              <w:t>总  分</w:t>
            </w:r>
          </w:p>
        </w:tc>
        <w:tc>
          <w:tcPr>
            <w:tcW w:w="867"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125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01"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100</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宋体" w:hAnsi="宋体" w:eastAsia="仿宋_GB2312" w:cs="宋体"/>
                <w:color w:val="000000"/>
                <w:kern w:val="0"/>
                <w:sz w:val="24"/>
              </w:rPr>
              <w:t>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93" w:type="dxa"/>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评价等次</w:t>
            </w:r>
          </w:p>
        </w:tc>
        <w:tc>
          <w:tcPr>
            <w:tcW w:w="867"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259"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01"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优　</w:t>
            </w:r>
          </w:p>
        </w:tc>
        <w:tc>
          <w:tcPr>
            <w:tcW w:w="174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80" w:lineRule="exact"/>
        <w:rPr>
          <w:rFonts w:eastAsia="黑体"/>
          <w:sz w:val="30"/>
          <w:szCs w:val="30"/>
        </w:rPr>
      </w:pPr>
    </w:p>
    <w:p>
      <w:pPr>
        <w:spacing w:line="580" w:lineRule="exact"/>
        <w:ind w:firstLine="640" w:firstLineChars="200"/>
        <w:rPr>
          <w:rFonts w:eastAsia="黑体"/>
          <w:sz w:val="30"/>
          <w:szCs w:val="30"/>
        </w:rPr>
      </w:pPr>
      <w:r>
        <w:rPr>
          <w:rFonts w:eastAsia="黑体"/>
          <w:sz w:val="32"/>
          <w:szCs w:val="32"/>
        </w:rPr>
        <w:t>四、绩效评价指标分析</w:t>
      </w:r>
    </w:p>
    <w:p>
      <w:pPr>
        <w:spacing w:line="580" w:lineRule="exact"/>
        <w:ind w:firstLine="602" w:firstLineChars="200"/>
        <w:rPr>
          <w:rFonts w:ascii="楷体" w:hAnsi="楷体" w:eastAsia="楷体" w:cs="楷体"/>
          <w:b/>
          <w:sz w:val="30"/>
          <w:szCs w:val="30"/>
        </w:rPr>
      </w:pPr>
      <w:r>
        <w:rPr>
          <w:rFonts w:hint="eastAsia" w:ascii="楷体" w:hAnsi="楷体" w:eastAsia="楷体" w:cs="楷体"/>
          <w:b/>
          <w:sz w:val="30"/>
          <w:szCs w:val="30"/>
        </w:rPr>
        <w:t>（一）预算支出决策情况</w:t>
      </w:r>
    </w:p>
    <w:p>
      <w:pPr>
        <w:spacing w:line="600" w:lineRule="exact"/>
        <w:ind w:firstLine="640" w:firstLineChars="200"/>
        <w:outlineLvl w:val="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为了加快公路建设工作，街道多次组织了相关办村开展专题会议讨论项目实施细节。</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预算执行过程情况</w:t>
      </w:r>
    </w:p>
    <w:p>
      <w:pPr>
        <w:spacing w:line="600" w:lineRule="exact"/>
        <w:ind w:firstLine="640" w:firstLineChars="200"/>
        <w:jc w:val="left"/>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我街道统一组织、广泛动员，多措并举，强力推进公路建设工程，采取“三天一调度”的工作模式，并多次组织各村书记、主任召开专项会议，明确各村书记为第一责任人，要求各村加快施工进度保证施工质量。然后，根据项目相关政策文件、会议记录、合同、支付凭证、票据的合法、真实性等资料进行自评。</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预算支出产出情况</w:t>
      </w:r>
    </w:p>
    <w:p>
      <w:pPr>
        <w:spacing w:line="580" w:lineRule="exact"/>
        <w:ind w:left="420" w:leftChars="200" w:firstLine="320" w:firstLineChars="1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完成公路提质改造计划22.1公里，并通过区交通局验收。</w:t>
      </w:r>
    </w:p>
    <w:p>
      <w:pPr>
        <w:numPr>
          <w:ilvl w:val="0"/>
          <w:numId w:val="2"/>
        </w:numPr>
        <w:spacing w:line="58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预算支出效益情况</w:t>
      </w:r>
    </w:p>
    <w:p>
      <w:pPr>
        <w:spacing w:line="58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完成农村公路建设22.1km路基路面建设和简易安保设施建设，使附近居民出行方便，砂石路面变为水泥路面，减少路面尘土污染，附近居民80%满意公路建设情况。</w:t>
      </w:r>
    </w:p>
    <w:p>
      <w:pPr>
        <w:numPr>
          <w:ilvl w:val="0"/>
          <w:numId w:val="3"/>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主要经验及做法、存在的问题及原因分析</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（一）经验及做法</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健全机构，明确责任，制定科学严谨的考核目标，严格按规章制度办事。</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完善财务报账手续，做到账务清晰，附件真实有效。付款时严格按项目实施进度进行支付。</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厉行节约，减少非必要的开支，提高资金的使用效率。</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（二）存在的问题</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目前公路建设材料、人工工资上涨，补助资金较少。</w:t>
      </w:r>
    </w:p>
    <w:p>
      <w:pPr>
        <w:numPr>
          <w:ilvl w:val="0"/>
          <w:numId w:val="4"/>
        </w:numPr>
        <w:spacing w:line="580" w:lineRule="exact"/>
        <w:ind w:firstLine="640" w:firstLineChars="200"/>
        <w:rPr>
          <w:rFonts w:eastAsia="黑体"/>
          <w:sz w:val="30"/>
          <w:szCs w:val="30"/>
        </w:rPr>
      </w:pPr>
      <w:r>
        <w:rPr>
          <w:rFonts w:eastAsia="黑体"/>
          <w:sz w:val="32"/>
          <w:szCs w:val="32"/>
        </w:rPr>
        <w:t>有关建议</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1、上级有关部门加强对财政部门之外其他部门绩效评价工作的指导和培训力度，提升绩效评价意识，业务人员及财务人员共同完成绩效评价工作。</w:t>
      </w:r>
    </w:p>
    <w:p>
      <w:pPr>
        <w:spacing w:line="600" w:lineRule="exact"/>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2、建议上级部门增加补助资金。</w:t>
      </w:r>
    </w:p>
    <w:p>
      <w:pPr>
        <w:spacing w:line="580" w:lineRule="exact"/>
        <w:ind w:firstLine="640" w:firstLineChars="200"/>
        <w:rPr>
          <w:rFonts w:ascii="宋体" w:hAnsi="宋体" w:eastAsia="方正小标宋简体"/>
          <w:sz w:val="32"/>
          <w:szCs w:val="32"/>
        </w:rPr>
      </w:pPr>
      <w:r>
        <w:rPr>
          <w:rFonts w:eastAsia="黑体"/>
          <w:sz w:val="32"/>
          <w:szCs w:val="32"/>
        </w:rPr>
        <w:t>七、其他需要说明的问题</w:t>
      </w:r>
    </w:p>
    <w:p>
      <w:pPr>
        <w:spacing w:line="600" w:lineRule="exact"/>
        <w:ind w:firstLine="640" w:firstLineChars="200"/>
        <w:outlineLvl w:val="0"/>
        <w:rPr>
          <w:rFonts w:ascii="宋体" w:hAnsi="宋体" w:eastAsia="仿宋_GB2312"/>
          <w:sz w:val="32"/>
          <w:szCs w:val="32"/>
        </w:rPr>
      </w:pPr>
      <w:r>
        <w:rPr>
          <w:rFonts w:hint="eastAsia" w:ascii="宋体" w:hAnsi="宋体" w:eastAsia="仿宋_GB2312"/>
          <w:sz w:val="32"/>
          <w:szCs w:val="32"/>
        </w:rPr>
        <w:t>无</w:t>
      </w:r>
    </w:p>
    <w:p/>
    <w:sectPr>
      <w:headerReference r:id="rId3" w:type="default"/>
      <w:footerReference r:id="rId4" w:type="default"/>
      <w:footerReference r:id="rId5"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path/>
          <v:fill on="f" focussize="0,0"/>
          <v:stroke on="f" joinstyle="miter"/>
          <v:imagedata o:title=""/>
          <o:lock v:ext="edit"/>
          <v:textbox inset="0mm,0mm,0mm,0mm" style="mso-fit-shape-to-text:t;">
            <w:txbxContent>
              <w:p>
                <w:pPr>
                  <w:pStyle w:val="2"/>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- 1 -</w:t>
                </w:r>
                <w:r>
                  <w:rPr>
                    <w:rFonts w:ascii="宋体" w:hAnsi="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- 4 -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1F2D1"/>
    <w:multiLevelType w:val="singleLevel"/>
    <w:tmpl w:val="AA01F2D1"/>
    <w:lvl w:ilvl="0" w:tentative="0">
      <w:start w:val="2"/>
      <w:numFmt w:val="chineseCounting"/>
      <w:suff w:val="nothing"/>
      <w:lvlText w:val="（%1）"/>
      <w:lvlJc w:val="left"/>
      <w:rPr>
        <w:rFonts w:hint="eastAsia"/>
      </w:rPr>
    </w:lvl>
  </w:abstractNum>
  <w:abstractNum w:abstractNumId="1">
    <w:nsid w:val="C8D3A1B9"/>
    <w:multiLevelType w:val="singleLevel"/>
    <w:tmpl w:val="C8D3A1B9"/>
    <w:lvl w:ilvl="0" w:tentative="0">
      <w:start w:val="5"/>
      <w:numFmt w:val="chineseCounting"/>
      <w:suff w:val="nothing"/>
      <w:lvlText w:val="%1、"/>
      <w:lvlJc w:val="left"/>
      <w:rPr>
        <w:rFonts w:hint="eastAsia"/>
      </w:rPr>
    </w:lvl>
  </w:abstractNum>
  <w:abstractNum w:abstractNumId="2">
    <w:nsid w:val="EC1842B0"/>
    <w:multiLevelType w:val="singleLevel"/>
    <w:tmpl w:val="EC1842B0"/>
    <w:lvl w:ilvl="0" w:tentative="0">
      <w:start w:val="3"/>
      <w:numFmt w:val="chineseCounting"/>
      <w:suff w:val="nothing"/>
      <w:lvlText w:val="%1、"/>
      <w:lvlJc w:val="left"/>
      <w:rPr>
        <w:rFonts w:hint="eastAsia"/>
      </w:rPr>
    </w:lvl>
  </w:abstractNum>
  <w:abstractNum w:abstractNumId="3">
    <w:nsid w:val="61598CAC"/>
    <w:multiLevelType w:val="singleLevel"/>
    <w:tmpl w:val="61598CAC"/>
    <w:lvl w:ilvl="0" w:tentative="0">
      <w:start w:val="6"/>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RmMDI4YWQ3OGQ5YTQ3Mzg5ZWVhYWNhMzYyNGVkOGIifQ=="/>
  </w:docVars>
  <w:rsids>
    <w:rsidRoot w:val="00641B93"/>
    <w:rsid w:val="0025622F"/>
    <w:rsid w:val="00283B80"/>
    <w:rsid w:val="00307F48"/>
    <w:rsid w:val="00436010"/>
    <w:rsid w:val="0053291D"/>
    <w:rsid w:val="00641B93"/>
    <w:rsid w:val="008B21D0"/>
    <w:rsid w:val="00944A33"/>
    <w:rsid w:val="00A51DD3"/>
    <w:rsid w:val="00A656CC"/>
    <w:rsid w:val="00C02041"/>
    <w:rsid w:val="00D3589B"/>
    <w:rsid w:val="00DA1CBB"/>
    <w:rsid w:val="00E82CCB"/>
    <w:rsid w:val="00EB369A"/>
    <w:rsid w:val="00F06459"/>
    <w:rsid w:val="00F324E7"/>
    <w:rsid w:val="0AA917D2"/>
    <w:rsid w:val="1BF55434"/>
    <w:rsid w:val="24F446BA"/>
    <w:rsid w:val="260F6881"/>
    <w:rsid w:val="37BF2ED1"/>
    <w:rsid w:val="39125BD3"/>
    <w:rsid w:val="3F204546"/>
    <w:rsid w:val="5B246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2524</Words>
  <Characters>2787</Characters>
  <Lines>24</Lines>
  <Paragraphs>6</Paragraphs>
  <TotalTime>29</TotalTime>
  <ScaleCrop>false</ScaleCrop>
  <LinksUpToDate>false</LinksUpToDate>
  <CharactersWithSpaces>2927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2022-02-07T01:42:00Z</dcterms:created>
  <dc:creator>admin</dc:creator>
  <cp:lastModifiedBy>Administrator</cp:lastModifiedBy>
  <cp:lastPrinted>2022-02-10T08:44:00Z</cp:lastPrinted>
  <dcterms:modified xsi:type="dcterms:W3CDTF">2023-09-05T02:28:10Z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72F9BB81E2CA4989B396B859C89C6DDF</vt:lpwstr>
  </property>
</Properties>
</file>