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2021年度坪塘街道办事处部门整体支出预算绩效</w:t>
      </w:r>
    </w:p>
    <w:p>
      <w:pPr>
        <w:spacing w:line="60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自评报告</w:t>
      </w:r>
    </w:p>
    <w:p>
      <w:pPr>
        <w:spacing w:line="600" w:lineRule="exact"/>
        <w:ind w:firstLine="640" w:firstLineChars="200"/>
        <w:rPr>
          <w:rFonts w:ascii="宋体" w:hAnsi="宋体" w:eastAsia="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一、部门（单位）概况</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（一）部门（单位）基本情况</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我街道为长沙市岳麓区人民政府的派出机关，受区人民政府的领导，依据法律、法规的规定，在本辖区内行使相应的政府管理职能。</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我街道为财政全额拨款的行政单位，现有编制人数53人，目前实有在职人员57人，退休人员30人，政府雇员2人，退役士官1人，临聘人员179人。</w:t>
      </w:r>
    </w:p>
    <w:p>
      <w:pPr>
        <w:spacing w:line="600" w:lineRule="exact"/>
        <w:ind w:firstLine="640" w:firstLineChars="200"/>
        <w:rPr>
          <w:rFonts w:ascii="仿宋_GB2312" w:eastAsia="仿宋_GB2312" w:cs="仿宋"/>
          <w:kern w:val="0"/>
          <w:sz w:val="32"/>
          <w:szCs w:val="32"/>
        </w:rPr>
      </w:pPr>
      <w:r>
        <w:rPr>
          <w:rFonts w:hint="eastAsia" w:ascii="仿宋_GB2312" w:hAnsi="宋体" w:eastAsia="仿宋_GB2312" w:cs="仿宋_GB2312"/>
          <w:sz w:val="32"/>
          <w:szCs w:val="32"/>
        </w:rPr>
        <w:t>我街道现有职能办所11个，分别是</w:t>
      </w:r>
      <w:r>
        <w:rPr>
          <w:rFonts w:hint="eastAsia" w:ascii="仿宋_GB2312" w:eastAsia="仿宋_GB2312" w:cs="仿宋"/>
          <w:kern w:val="0"/>
          <w:sz w:val="32"/>
          <w:szCs w:val="32"/>
        </w:rPr>
        <w:t>城市管理办公室 （区域建设服务办公室）、公共服务办公室 (行政审批服务办公室、优化营商环境服务办公室)、党政综合办公室、基层党建办公室、公共安全办公室、网格化综合服务中心、政务服务中心（党群服务中心）、农业农村工作办公室、纪检监察室、退役军人服务站、财政所。</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（二）部门（单位）整体支出规模、使用方向和主要内容、涉及范围等</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2021年决算总支出</w:t>
      </w:r>
      <w:r>
        <w:rPr>
          <w:rFonts w:hint="eastAsia" w:ascii="宋体" w:hAnsi="宋体" w:eastAsia="仿宋_GB2312"/>
          <w:sz w:val="32"/>
          <w:szCs w:val="32"/>
        </w:rPr>
        <w:t>7217.54万元，其中基本支出　2194.07万元,项目支出5023.47万元。总支出按经济科目进行分类，</w:t>
      </w:r>
      <w:r>
        <w:rPr>
          <w:rFonts w:hint="eastAsia" w:ascii="仿宋_GB2312" w:hAnsi="宋体" w:eastAsia="仿宋_GB2312" w:cs="仿宋_GB2312"/>
          <w:sz w:val="32"/>
          <w:szCs w:val="32"/>
        </w:rPr>
        <w:t>其中工资福利支出1918.27万元、商品和服务支出1170.24万元、对个人和家庭的补助支出275.70万元、资本性支出83.33万元、对企业补助32万元、其他支出3738万元。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二、部门（单位）整体支出管理及使用情况</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（一）基本支出</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2021年基本支出为2194.07万元，系街道为保障单位机构正常运转、完成日常工作任务而发生的各项支出，主要包括基本工资、津贴补贴等人员经费以及办公费、印刷费、公务用车运行维护费、工会经费、招待费、其它商品服务支出、办公设备购置等日常公用经费。</w:t>
      </w:r>
    </w:p>
    <w:p>
      <w:pPr>
        <w:autoSpaceDE w:val="0"/>
        <w:autoSpaceDN w:val="0"/>
        <w:adjustRightInd w:val="0"/>
        <w:spacing w:line="600" w:lineRule="exact"/>
        <w:ind w:firstLine="641"/>
        <w:rPr>
          <w:rFonts w:ascii="宋体" w:hAnsi="宋体" w:eastAsia="仿宋_GB2312"/>
          <w:sz w:val="32"/>
          <w:szCs w:val="32"/>
        </w:rPr>
      </w:pPr>
      <w:r>
        <w:rPr>
          <w:rFonts w:hint="eastAsia" w:ascii="宋体" w:hAnsi="宋体" w:eastAsia="仿宋_GB2312"/>
          <w:sz w:val="32"/>
          <w:szCs w:val="32"/>
        </w:rPr>
        <w:t>基本支出中2021年度“三公”经费支出合计0.57万元，比2020年减少1.46万元，减少60.99%。分项为：因公出国（境）费支出0万元，主要为在全区预算总额控制范围内安排我街道因公出国（境）费用0万元；公务接待费支出0万元，支出减少的主要原因为贯彻落实“八项”规定要求，实行预算控制制度，严格控制公务接待数量、规模、接待标准等；公务用车购置及运行维护费完成0.57万元，比上年减少1.46万元，下降60.99%，增减变化的主要原因是：公车本年度未预付油费。</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（二）专项支出</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1.项目支出安排落实、总投入等情况分析</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2021年街道的项目支出总额为5023.47万元，主要包括城管、公共安全、农业、卫健等专项经费。</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2.项目支出实际使用情况分析</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项目支出按功能科目分类，一般公共服务支出3784.61万元、公共安全支出62.73万元、文化旅游体育与传媒支出0.4万元、社会保障和就业支出705.07万元、卫生健康支出165.52万元、节能环保支出414.94万元、城乡社区支出824.38万元、农林水支出1042.52万元、商业服务业等支出30万元、住房保障支出174.67万元、灾害防治及应急管理支出12.7万元。</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3.项目支出管理情况分析</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项目支出在使用的过程中严格依照财政评审投资、政府采购、招投标等有关规定进行资金的管理。</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三、部门（单位）专项组织实施情况</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（一）专项组织情况分析</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1.街道设立了内审站，对内审工程项目的招投标、调整、竣工验收等进行把关，严格依照相关文件规定管理工程项目。</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2.街道对部门专项资金，尤其是50万元以上专项资金的使用，街道党政会议研究使用，严格专款专用，由各归口办（所）负责牵头、组织实施，确保资金使用效益最大化。</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（二）专项管理情况分析</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街道出台了《坪塘街道内部审计工作管理办法》《坪塘街道财务管理制度》《坪塘街道政府采购制度》等多项制度文件，从项目立项、绩效目标、资金管理、财务信息质量以及项目经济社会效益等方面进行了规定，且对各专项资金进行动态式的绩效监控跟踪，对各项目完成情况进行清理，对各项目资金支付情况进行内审，对各项目中存在的主要问题及时进行分析研究，并提出了改进建议或意见，确保了各项目资金按时按质落实到位。</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四、部门（单位）整体支出绩效情况</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（一）经济性评价</w:t>
      </w:r>
    </w:p>
    <w:p>
      <w:pPr>
        <w:spacing w:line="600" w:lineRule="exact"/>
        <w:ind w:firstLine="640" w:firstLineChars="200"/>
        <w:outlineLvl w:val="0"/>
        <w:rPr>
          <w:rFonts w:ascii="宋体" w:hAnsi="宋体" w:eastAsia="仿宋_GB2312"/>
          <w:color w:val="FF0000"/>
          <w:sz w:val="32"/>
          <w:szCs w:val="32"/>
        </w:rPr>
      </w:pPr>
      <w:r>
        <w:rPr>
          <w:rFonts w:hint="eastAsia" w:ascii="宋体" w:hAnsi="宋体" w:eastAsia="仿宋_GB2312"/>
          <w:sz w:val="32"/>
          <w:szCs w:val="32"/>
        </w:rPr>
        <w:t>2021年，我街道严格执行预算，不断强化管理，进行了预决算公开。我街道坚持量入为出，充分节约使用经费，人员及办公经费严格按标准支出；三公经费使用控制较好，比2020年减少1.46万元，减少60.99%。</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（二）行政效能评价</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为强化部门整体支出，提高资金使用效益，建立节约型机关，2021年我街道在强化业务、财务管理和厉行节约方面开展了一系列工作，行政效能显著。</w:t>
      </w:r>
    </w:p>
    <w:p>
      <w:pPr>
        <w:spacing w:line="600" w:lineRule="exact"/>
        <w:ind w:firstLine="640" w:firstLineChars="200"/>
        <w:outlineLvl w:val="0"/>
        <w:rPr>
          <w:rFonts w:ascii="宋体" w:hAnsi="宋体" w:eastAsia="仿宋_GB2312"/>
          <w:sz w:val="32"/>
          <w:szCs w:val="32"/>
        </w:rPr>
      </w:pPr>
      <w:r>
        <w:rPr>
          <w:rFonts w:hint="eastAsia" w:ascii="仿宋_GB2312" w:hAnsi="仿宋" w:eastAsia="仿宋_GB2312"/>
          <w:sz w:val="32"/>
          <w:szCs w:val="32"/>
        </w:rPr>
        <w:t>1．</w:t>
      </w:r>
      <w:r>
        <w:rPr>
          <w:rFonts w:hint="eastAsia" w:ascii="宋体" w:hAnsi="宋体" w:eastAsia="仿宋_GB2312"/>
          <w:sz w:val="32"/>
          <w:szCs w:val="32"/>
        </w:rPr>
        <w:t>严格执行国库集中支付、政府采购等有关规定，确保了财务支出流程及审批手续的完整。</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2.强化资金使用的监督管理及预算管理</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一是规范“三公经费”，较年初预算有较大结余，且较上年实际支出减少了60.99%；二是严格财务管理，严控经费支出，项目资金专款专用。</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（三）项目产出及社会效益评价</w:t>
      </w:r>
    </w:p>
    <w:p>
      <w:pPr>
        <w:pStyle w:val="4"/>
        <w:spacing w:after="0" w:line="600" w:lineRule="exact"/>
        <w:ind w:left="105" w:leftChars="50" w:firstLine="480" w:firstLineChars="150"/>
        <w:rPr>
          <w:rFonts w:ascii="宋体" w:eastAsia="仿宋_GB2312"/>
          <w:sz w:val="32"/>
          <w:szCs w:val="32"/>
        </w:rPr>
      </w:pPr>
      <w:r>
        <w:rPr>
          <w:rFonts w:hint="eastAsia" w:ascii="宋体" w:eastAsia="仿宋_GB2312"/>
          <w:sz w:val="32"/>
          <w:szCs w:val="32"/>
        </w:rPr>
        <w:t>1．服务中心大局，在抢抓融城机遇中壮大经济实力</w:t>
      </w:r>
    </w:p>
    <w:p>
      <w:pPr>
        <w:pStyle w:val="4"/>
        <w:spacing w:after="0" w:line="600" w:lineRule="exact"/>
        <w:ind w:left="105" w:leftChars="50" w:firstLine="480" w:firstLineChars="150"/>
        <w:rPr>
          <w:rFonts w:ascii="宋体" w:eastAsia="仿宋_GB2312"/>
          <w:sz w:val="32"/>
          <w:szCs w:val="32"/>
        </w:rPr>
      </w:pPr>
      <w:r>
        <w:rPr>
          <w:rFonts w:hint="eastAsia" w:ascii="宋体" w:eastAsia="仿宋_GB2312"/>
          <w:sz w:val="32"/>
          <w:szCs w:val="32"/>
        </w:rPr>
        <w:t>一是经济指标在逆境中稳中向好</w:t>
      </w:r>
      <w:r>
        <w:rPr>
          <w:rFonts w:hint="eastAsia" w:ascii="仿宋_GB2312" w:hAnsi="仿宋_GB2312" w:eastAsia="仿宋_GB2312" w:cs="仿宋_GB2312"/>
          <w:sz w:val="32"/>
          <w:szCs w:val="32"/>
        </w:rPr>
        <w:t>新增“四上”企业2家，新增市场主体502家。</w:t>
      </w:r>
      <w:r>
        <w:rPr>
          <w:rFonts w:hint="eastAsia" w:ascii="宋体" w:eastAsia="仿宋_GB2312"/>
          <w:sz w:val="32"/>
          <w:szCs w:val="32"/>
        </w:rPr>
        <w:t>二是征地拆迁在加压中全面推进。启动集体土地拆迁项目11个，长株潭融城小镇一期及机场联络线项目实现腾地。通用机场、国检中心、水质净化厂、白庭路及巴溪大道等7个项目2000余亩土地征拆全面推进。完成历史遗留扫尾项目2个。三是产业项目在融城中跨越发展。全力服务省市区重点项目建设。大王山朗豪酒店隆重开业，华谊电影小镇二期启动前期设计，欢乐海洋公园主体基本实现完工。长株潭城际轨道交通西环线、暮坪湘江特大桥等项目加速推进。通过红桥消纳场为辖区重点项目提供便捷渣土消纳服务。</w:t>
      </w:r>
    </w:p>
    <w:p>
      <w:pPr>
        <w:snapToGrid w:val="0"/>
        <w:spacing w:line="600" w:lineRule="exact"/>
        <w:ind w:firstLine="640" w:firstLineChars="200"/>
        <w:rPr>
          <w:rFonts w:ascii="宋体" w:hAnsi="宋体" w:eastAsia="仿宋_GB2312"/>
          <w:sz w:val="32"/>
          <w:szCs w:val="32"/>
        </w:rPr>
      </w:pPr>
      <w:r>
        <w:rPr>
          <w:rFonts w:hint="eastAsia" w:ascii="仿宋_GB2312" w:hAnsi="仿宋" w:eastAsia="仿宋_GB2312"/>
          <w:sz w:val="32"/>
          <w:szCs w:val="32"/>
        </w:rPr>
        <w:t>2</w:t>
      </w:r>
      <w:r>
        <w:rPr>
          <w:rFonts w:hint="eastAsia" w:ascii="宋体" w:hAnsi="宋体" w:eastAsia="仿宋_GB2312"/>
          <w:sz w:val="32"/>
          <w:szCs w:val="32"/>
        </w:rPr>
        <w:t>．践行宗旨意识，在推进城乡融合中实现发展共享</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是乡村振兴全域拓展。投入资金2100余万元进行农村基础设施建设，提质农村道路18.1公里，“白改黑”3.5公里，完成水利项目30个。7个美丽宜居村庄全部高质验收，多个创建点综合排名全区前列。加强农村生态环境保护，严格落实河长制、林长制，成功创建白泉市级小微水体管护示范片。各村集体经济收入大幅提升，全部突破20万元。白泉村获评“省级乡村振兴示范创建村”和“省级美丽乡村”。二是民生配套更加完善。建成健身步道1条、全民健身中心1个、智慧健身房1个，莲花山村成功申报“市级标准化村（社区）综合文化服务中心”。推进“智慧乡村”建设，新增300个“天网工程”探头，实现全域智慧治理。处理市民热线工单650起，满意率100%。优化就业服务，获评全区唯一“湖南省充分就业街道”。做好退役军人优抚服务，莲花山村成功打造“兵支书示范村”和“示范型退役军人服务站</w:t>
      </w:r>
      <w:r>
        <w:rPr>
          <w:rFonts w:ascii="宋体" w:hAnsi="宋体" w:eastAsia="仿宋_GB2312"/>
          <w:sz w:val="32"/>
          <w:szCs w:val="32"/>
        </w:rPr>
        <w:t>”</w:t>
      </w:r>
      <w:r>
        <w:rPr>
          <w:rFonts w:hint="eastAsia" w:ascii="宋体" w:hAnsi="宋体" w:eastAsia="仿宋_GB2312"/>
          <w:sz w:val="32"/>
          <w:szCs w:val="32"/>
        </w:rPr>
        <w:t>，并接受全区观摩。完成公共服务中心建设前期手续，推进卫生服务中心等配套建设。深入开展“我为群众办实事”实践活动，解决群众关切“急难愁盼”问题1000余件。三是城市管理更加精细。全面推进全国食品安全示范城市和全国文明典范城市创建。协调拓宽083县道，解决了“一狱三所”进出道路交通拥堵问题。深入开展“蓝天保卫战”，对标 “六控十严禁”要求，城乡结合部裸露地面全硬化、全绿化。开展“百日奋战 靓丽长沙”市容环境整治，制止违建30余起，整改图斑13处，市容环境明显改善。</w:t>
      </w:r>
    </w:p>
    <w:p>
      <w:pPr>
        <w:snapToGrid w:val="0"/>
        <w:spacing w:line="600" w:lineRule="exact"/>
        <w:ind w:firstLine="640" w:firstLineChars="200"/>
        <w:rPr>
          <w:rFonts w:ascii="宋体" w:hAnsi="宋体" w:eastAsia="仿宋_GB2312"/>
          <w:sz w:val="32"/>
          <w:szCs w:val="32"/>
        </w:rPr>
      </w:pPr>
      <w:r>
        <w:rPr>
          <w:rFonts w:hint="eastAsia" w:ascii="宋体" w:hAnsi="宋体" w:eastAsia="仿宋_GB2312"/>
          <w:sz w:val="32"/>
          <w:szCs w:val="32"/>
        </w:rPr>
        <w:t>3．坚守社会底线，在创新社会治理中保持大局稳定</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一是坚决守住疫情防控底线。以</w:t>
      </w:r>
      <w:r>
        <w:rPr>
          <w:rFonts w:hint="eastAsia" w:ascii="宋体" w:hAnsi="宋体" w:eastAsia="仿宋_GB2312"/>
          <w:sz w:val="32"/>
          <w:szCs w:val="32"/>
          <w:lang w:eastAsia="zh-CN"/>
        </w:rPr>
        <w:t>应急状态</w:t>
      </w:r>
      <w:r>
        <w:rPr>
          <w:rFonts w:hint="eastAsia" w:ascii="宋体" w:hAnsi="宋体" w:eastAsia="仿宋_GB2312"/>
          <w:sz w:val="32"/>
          <w:szCs w:val="32"/>
        </w:rPr>
        <w:t>成功应对两轮疫情，7.25湘江欢乐城疫情防控相关人员全部解除相应健康管理措施，实现疫情防控零感染、零疑似。二是坚决守住安全生产底线。成功创建达标第一批“湖南省应急示范乡镇”，成功申报“省级安全发展工作示范街道”。三是坚决守住信访维稳底线。8件积案全部化解，信访办理结案率100%，全力做好换届选举、建党百年大庆、省市区党代会等节点维稳工作，营造了安全稳定的环境。四是坚决守住恒大维稳底线。率先预警恒大项目资金链危机，成立高规格恒大文化旅</w:t>
      </w:r>
      <w:bookmarkStart w:id="0" w:name="_GoBack"/>
      <w:bookmarkEnd w:id="0"/>
      <w:r>
        <w:rPr>
          <w:rFonts w:hint="eastAsia" w:ascii="宋体" w:hAnsi="宋体" w:eastAsia="仿宋_GB2312"/>
          <w:sz w:val="32"/>
          <w:szCs w:val="32"/>
        </w:rPr>
        <w:t>游城项目处置工作领导小组，全力稳控购房业主、民工、施工单位等群体，推动文旅城项目在全市恒大项目中率先复工，12月首批414户实现交楼。</w:t>
      </w:r>
    </w:p>
    <w:p>
      <w:pPr>
        <w:snapToGrid w:val="0"/>
        <w:spacing w:line="600" w:lineRule="exact"/>
        <w:ind w:firstLine="640" w:firstLineChars="200"/>
        <w:rPr>
          <w:rFonts w:ascii="宋体" w:hAnsi="宋体" w:eastAsia="仿宋_GB2312"/>
          <w:sz w:val="32"/>
          <w:szCs w:val="32"/>
        </w:rPr>
      </w:pPr>
      <w:r>
        <w:rPr>
          <w:rFonts w:hint="eastAsia" w:ascii="宋体" w:hAnsi="宋体" w:eastAsia="仿宋_GB2312"/>
          <w:sz w:val="32"/>
          <w:szCs w:val="32"/>
        </w:rPr>
        <w:t>4．坚持党建引领，在强化政治建设中提升队伍形象</w:t>
      </w:r>
    </w:p>
    <w:p>
      <w:pPr>
        <w:spacing w:line="600" w:lineRule="exact"/>
        <w:ind w:firstLine="640" w:firstLineChars="200"/>
        <w:rPr>
          <w:rFonts w:ascii="仿宋_GB2312" w:hAnsi="仿宋_GB2312" w:eastAsia="仿宋_GB2312" w:cs="仿宋_GB2312"/>
          <w:sz w:val="32"/>
          <w:szCs w:val="32"/>
        </w:rPr>
      </w:pPr>
      <w:r>
        <w:rPr>
          <w:rFonts w:hint="eastAsia" w:ascii="宋体" w:hAnsi="宋体" w:eastAsia="仿宋_GB2312"/>
          <w:sz w:val="32"/>
          <w:szCs w:val="32"/>
        </w:rPr>
        <w:t>一是全面选优配强班子队伍。圆满完成7村2社区“两委”换届，新进、退出委员82人。推进新成立花溪社区换届选举，实现农安小区规范化管理。高效保障区人大、政协换届圆满完成。全面排查整顿农村发展党员违规违纪问题</w:t>
      </w:r>
      <w:r>
        <w:rPr>
          <w:rFonts w:hint="eastAsia" w:ascii="仿宋_GB2312" w:hAnsi="仿宋_GB2312" w:eastAsia="仿宋_GB2312" w:cs="仿宋_GB2312"/>
          <w:sz w:val="32"/>
          <w:szCs w:val="32"/>
        </w:rPr>
        <w:t>。全年发展党员27名。二是全面提升理论学习成效。党史学习教育深入推进，建党100周年活动特色明显。“百年党史”系列宣传视频得到国家级平台“学习强国”推广，典型做法上稿500余篇；组织赴十八洞村、胡耀邦故居等专题学习研讨40余次；组织“国字号”好人和道德模范专题宣讲30余次；“上善助残”挂牌“省级党建助残示范基地”。三是压实全面从严治党主体责任。制定“清廉坪塘”建设方案，探索构建清廉共同体，以莲花山村为试点，全域推进“清廉村居”建设。严格执行党内监督制度，查处问题线索18件，办结18件。狠抓区委巡察问题整改落实，2020年区委巡察反馈问题全部销号清零。四是全面抓牢意识形态工作。严格执行意识形态工作“六个纳入”，及早预警曾国藩墓清明祭祀涉台舆情，主动应对恒大项目危机舆情，妥善处置“红网问政”和各类舆情交办件50余件，及时将各类风险隐患化解在萌芽状态，全年未发生重大影响负面舆情事件。</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五、存在的主要问题及原因分析</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（一）预算执行偏差较大</w:t>
      </w:r>
    </w:p>
    <w:p>
      <w:pPr>
        <w:spacing w:line="600" w:lineRule="exact"/>
        <w:ind w:firstLine="800" w:firstLineChars="250"/>
        <w:rPr>
          <w:rFonts w:ascii="宋体" w:hAnsi="宋体" w:eastAsia="仿宋_GB2312"/>
          <w:sz w:val="32"/>
          <w:szCs w:val="32"/>
        </w:rPr>
      </w:pPr>
      <w:r>
        <w:rPr>
          <w:rFonts w:hint="eastAsia" w:ascii="仿宋_GB2312" w:eastAsia="仿宋_GB2312"/>
          <w:sz w:val="32"/>
          <w:szCs w:val="32"/>
        </w:rPr>
        <w:t>我街道执行区财政局“以收定支”的财政预算机制，根据统一要求，在编制2021年度预算时，支出预算编制的收入来源依据为体制收入及非税收入。体制收入及非税收入仅能满足街道人员、机关日常运转等基本支出的需求，没有多余的经费进行项目支出预算。但决算时，需要将上级部门“往来款”性质的项目资金纳入决算支出，导致预算执行率偏差较大。</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 xml:space="preserve"> (二) 经费保障水平较低</w:t>
      </w:r>
    </w:p>
    <w:p>
      <w:pPr>
        <w:spacing w:line="600" w:lineRule="exact"/>
        <w:ind w:firstLine="800" w:firstLineChars="250"/>
        <w:rPr>
          <w:rFonts w:ascii="宋体" w:hAnsi="宋体" w:eastAsia="仿宋_GB2312"/>
          <w:sz w:val="32"/>
          <w:szCs w:val="32"/>
        </w:rPr>
      </w:pPr>
      <w:r>
        <w:rPr>
          <w:rFonts w:hint="eastAsia" w:ascii="宋体" w:hAnsi="宋体" w:eastAsia="仿宋_GB2312"/>
          <w:sz w:val="32"/>
          <w:szCs w:val="32"/>
        </w:rPr>
        <w:t>一是基本支出难以得到有效保障。因街道工作业务量大，项目铺排众多，不得不聘请部分临时人员开展日常工作。但由于全区整体财力有限，且我街道税源极为有限，导致收入来源不足，难以满足全部人员的工资福利开支。二是部分专项资金下达比较滞后，资金来源渠道少，资金压力大，不利于年度工作计划的实施。</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（三）人员业务能力较弱</w:t>
      </w:r>
    </w:p>
    <w:p>
      <w:pPr>
        <w:spacing w:line="600" w:lineRule="exact"/>
        <w:ind w:firstLine="800" w:firstLineChars="250"/>
        <w:rPr>
          <w:rFonts w:ascii="宋体" w:hAnsi="宋体" w:eastAsia="仿宋_GB2312"/>
          <w:sz w:val="32"/>
          <w:szCs w:val="32"/>
        </w:rPr>
      </w:pPr>
      <w:r>
        <w:rPr>
          <w:rFonts w:hint="eastAsia" w:ascii="宋体" w:hAnsi="宋体" w:eastAsia="仿宋_GB2312"/>
          <w:sz w:val="32"/>
          <w:szCs w:val="32"/>
        </w:rPr>
        <w:t>由于预算绩效管理工作复杂，经办人员存在对预算绩效管理认识理解有待进一步深入、业务不够熟练等问题，业务能力水平有待进一步提升。</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六、下一步改进措施和有关建议</w:t>
      </w:r>
    </w:p>
    <w:p>
      <w:pPr>
        <w:spacing w:line="600" w:lineRule="exact"/>
        <w:ind w:firstLine="800" w:firstLineChars="250"/>
        <w:rPr>
          <w:rFonts w:ascii="宋体" w:hAnsi="宋体" w:eastAsia="仿宋_GB2312"/>
          <w:sz w:val="32"/>
          <w:szCs w:val="32"/>
        </w:rPr>
      </w:pPr>
      <w:r>
        <w:rPr>
          <w:rFonts w:hint="eastAsia" w:ascii="宋体" w:hAnsi="宋体" w:eastAsia="仿宋_GB2312"/>
          <w:sz w:val="32"/>
          <w:szCs w:val="32"/>
        </w:rPr>
        <w:t>（一）提高预算执行率</w:t>
      </w:r>
    </w:p>
    <w:p>
      <w:pPr>
        <w:spacing w:line="600" w:lineRule="exact"/>
        <w:ind w:firstLine="800" w:firstLineChars="250"/>
        <w:rPr>
          <w:rFonts w:ascii="宋体" w:hAnsi="宋体" w:eastAsia="仿宋_GB2312"/>
          <w:sz w:val="32"/>
          <w:szCs w:val="32"/>
        </w:rPr>
      </w:pPr>
      <w:r>
        <w:rPr>
          <w:rFonts w:hint="eastAsia" w:ascii="宋体" w:hAnsi="宋体" w:eastAsia="仿宋_GB2312"/>
          <w:sz w:val="32"/>
          <w:szCs w:val="32"/>
        </w:rPr>
        <w:t>规范预算收支核算。一是根据街道实际情况制定和进一步完善基本支出、项目支出等各项支出标准，严格按项目和进度执行预算，增强预算的约束力和严肃性。二是落实预算执行分析，及时了解预算执行差异，合理调整、纠正预算执行偏差，切实提高部门预算收支管理水平。三是强化财政职能作用。按照上级部门要求，进一步强化财政监督，认真做好财政预算、财政决算公开，不断提高理财透明度。在费用报账支付时，按照预算规定的费用项目和用途进行资金使用审核、列报支付、财务核算，杜绝超支现象的发生。</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（二）拓宽资金来源渠道</w:t>
      </w:r>
    </w:p>
    <w:p>
      <w:pPr>
        <w:widowControl/>
        <w:spacing w:line="600" w:lineRule="exact"/>
        <w:ind w:right="375" w:firstLine="640" w:firstLineChars="200"/>
        <w:jc w:val="left"/>
        <w:outlineLvl w:val="0"/>
        <w:rPr>
          <w:rFonts w:ascii="宋体" w:hAnsi="宋体" w:eastAsia="仿宋_GB2312"/>
          <w:sz w:val="32"/>
          <w:szCs w:val="32"/>
        </w:rPr>
      </w:pPr>
      <w:r>
        <w:rPr>
          <w:rFonts w:hint="eastAsia" w:ascii="宋体" w:hAnsi="宋体" w:eastAsia="仿宋_GB2312"/>
          <w:sz w:val="32"/>
          <w:szCs w:val="32"/>
        </w:rPr>
        <w:t>多层次、多方位筹集资金，拓宽资金来源渠道，增加基础设施建设投入。发挥政府的导向作用，广泛动员社会各界共同参与区域建设。</w:t>
      </w:r>
    </w:p>
    <w:p>
      <w:pPr>
        <w:spacing w:line="600" w:lineRule="exact"/>
        <w:ind w:firstLine="800" w:firstLineChars="250"/>
        <w:rPr>
          <w:rFonts w:ascii="宋体" w:hAnsi="宋体" w:eastAsia="仿宋_GB2312"/>
          <w:sz w:val="32"/>
          <w:szCs w:val="32"/>
        </w:rPr>
      </w:pPr>
      <w:r>
        <w:rPr>
          <w:rFonts w:hint="eastAsia" w:ascii="宋体" w:hAnsi="宋体" w:eastAsia="仿宋_GB2312"/>
          <w:sz w:val="32"/>
          <w:szCs w:val="32"/>
        </w:rPr>
        <w:t>（三）提升人员业务水平</w:t>
      </w:r>
    </w:p>
    <w:p>
      <w:pPr>
        <w:spacing w:line="600" w:lineRule="exact"/>
        <w:ind w:firstLine="800" w:firstLineChars="250"/>
        <w:rPr>
          <w:rFonts w:ascii="宋体" w:hAnsi="宋体" w:eastAsia="仿宋_GB2312"/>
          <w:sz w:val="32"/>
          <w:szCs w:val="32"/>
        </w:rPr>
      </w:pPr>
      <w:r>
        <w:rPr>
          <w:rFonts w:hint="eastAsia" w:ascii="宋体" w:hAnsi="宋体" w:eastAsia="仿宋_GB2312"/>
          <w:sz w:val="32"/>
          <w:szCs w:val="32"/>
        </w:rPr>
        <w:t>部门整体绩效评价工作是一项长期性的工作，专业性强、工作量大，对经办人员业务能力水平要求较高。建议财政有关部门针对部门绩效评价中存在的困难和问题开展相关的业务工作培训，进一步有效提升人员的基础业务能力和专业水平；组织开展部门之间、单位之间的经验交流，加强督促指导，进一步切实推进绩效评价工作的开展。</w:t>
      </w:r>
    </w:p>
    <w:p>
      <w:pPr>
        <w:spacing w:line="600" w:lineRule="exact"/>
        <w:ind w:firstLine="643" w:firstLineChars="200"/>
        <w:outlineLvl w:val="0"/>
        <w:rPr>
          <w:rFonts w:ascii="黑体" w:hAnsi="黑体" w:eastAsia="黑体"/>
          <w:b/>
          <w:sz w:val="32"/>
          <w:szCs w:val="32"/>
        </w:rPr>
      </w:pPr>
      <w:r>
        <w:rPr>
          <w:rFonts w:hint="eastAsia" w:ascii="黑体" w:hAnsi="黑体" w:eastAsia="黑体"/>
          <w:b/>
          <w:sz w:val="32"/>
          <w:szCs w:val="32"/>
        </w:rPr>
        <w:t>七、其他需要说明的情况</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N2FjYjg2Y2EwOWExYzU4YTYwNTY5NzNiZTcwYmUifQ=="/>
  </w:docVars>
  <w:rsids>
    <w:rsidRoot w:val="00C811FB"/>
    <w:rsid w:val="00000EE6"/>
    <w:rsid w:val="0000225E"/>
    <w:rsid w:val="00002E15"/>
    <w:rsid w:val="0001351D"/>
    <w:rsid w:val="00017117"/>
    <w:rsid w:val="000479C3"/>
    <w:rsid w:val="000716DD"/>
    <w:rsid w:val="00083F57"/>
    <w:rsid w:val="000B1FEB"/>
    <w:rsid w:val="000C209F"/>
    <w:rsid w:val="000C4D07"/>
    <w:rsid w:val="000C4E79"/>
    <w:rsid w:val="000C7C59"/>
    <w:rsid w:val="000D76B2"/>
    <w:rsid w:val="000E28BB"/>
    <w:rsid w:val="000E3490"/>
    <w:rsid w:val="000E773F"/>
    <w:rsid w:val="001012AA"/>
    <w:rsid w:val="00102BF8"/>
    <w:rsid w:val="00112F80"/>
    <w:rsid w:val="00115DE9"/>
    <w:rsid w:val="00127097"/>
    <w:rsid w:val="00155D07"/>
    <w:rsid w:val="00183869"/>
    <w:rsid w:val="001851C0"/>
    <w:rsid w:val="00186FE2"/>
    <w:rsid w:val="001A040A"/>
    <w:rsid w:val="001A3ABD"/>
    <w:rsid w:val="001C2965"/>
    <w:rsid w:val="001C3865"/>
    <w:rsid w:val="001C45BC"/>
    <w:rsid w:val="001E685E"/>
    <w:rsid w:val="001F4500"/>
    <w:rsid w:val="0021794E"/>
    <w:rsid w:val="0022117D"/>
    <w:rsid w:val="00222615"/>
    <w:rsid w:val="00222C4A"/>
    <w:rsid w:val="002245DA"/>
    <w:rsid w:val="00225E69"/>
    <w:rsid w:val="00226BEA"/>
    <w:rsid w:val="00230D47"/>
    <w:rsid w:val="00241FC9"/>
    <w:rsid w:val="00245449"/>
    <w:rsid w:val="0025292B"/>
    <w:rsid w:val="00261C3A"/>
    <w:rsid w:val="00266917"/>
    <w:rsid w:val="00282844"/>
    <w:rsid w:val="002832DF"/>
    <w:rsid w:val="002877D1"/>
    <w:rsid w:val="00290A6B"/>
    <w:rsid w:val="0029484E"/>
    <w:rsid w:val="002978B0"/>
    <w:rsid w:val="002A0DDC"/>
    <w:rsid w:val="002A7AB0"/>
    <w:rsid w:val="002A7E80"/>
    <w:rsid w:val="002B394D"/>
    <w:rsid w:val="002D30F3"/>
    <w:rsid w:val="002D4BFE"/>
    <w:rsid w:val="002F688D"/>
    <w:rsid w:val="0030047E"/>
    <w:rsid w:val="003020BD"/>
    <w:rsid w:val="00311E69"/>
    <w:rsid w:val="00317365"/>
    <w:rsid w:val="00320894"/>
    <w:rsid w:val="003208CD"/>
    <w:rsid w:val="00325B3D"/>
    <w:rsid w:val="00340A75"/>
    <w:rsid w:val="00341A09"/>
    <w:rsid w:val="003460ED"/>
    <w:rsid w:val="0034673E"/>
    <w:rsid w:val="003559AA"/>
    <w:rsid w:val="003624B7"/>
    <w:rsid w:val="00371F4E"/>
    <w:rsid w:val="00374362"/>
    <w:rsid w:val="00381B8B"/>
    <w:rsid w:val="00381B9D"/>
    <w:rsid w:val="00396A53"/>
    <w:rsid w:val="003A0304"/>
    <w:rsid w:val="003B0AE2"/>
    <w:rsid w:val="003C276A"/>
    <w:rsid w:val="003F45F2"/>
    <w:rsid w:val="003F6216"/>
    <w:rsid w:val="004101EF"/>
    <w:rsid w:val="00416EAA"/>
    <w:rsid w:val="00421385"/>
    <w:rsid w:val="004308BD"/>
    <w:rsid w:val="00431140"/>
    <w:rsid w:val="0045065E"/>
    <w:rsid w:val="00474CFF"/>
    <w:rsid w:val="00477A45"/>
    <w:rsid w:val="004A559E"/>
    <w:rsid w:val="004B0313"/>
    <w:rsid w:val="004B74F1"/>
    <w:rsid w:val="004C1249"/>
    <w:rsid w:val="004C5A8D"/>
    <w:rsid w:val="004E3E5D"/>
    <w:rsid w:val="004F2930"/>
    <w:rsid w:val="004F73B8"/>
    <w:rsid w:val="00513815"/>
    <w:rsid w:val="005145AF"/>
    <w:rsid w:val="00530CEE"/>
    <w:rsid w:val="00540304"/>
    <w:rsid w:val="00564E38"/>
    <w:rsid w:val="0056615D"/>
    <w:rsid w:val="0056648F"/>
    <w:rsid w:val="00576B6E"/>
    <w:rsid w:val="00582D51"/>
    <w:rsid w:val="00592B13"/>
    <w:rsid w:val="00593691"/>
    <w:rsid w:val="00597F12"/>
    <w:rsid w:val="005A0413"/>
    <w:rsid w:val="005A1623"/>
    <w:rsid w:val="005B02A1"/>
    <w:rsid w:val="005B3CFA"/>
    <w:rsid w:val="005C184A"/>
    <w:rsid w:val="005C186B"/>
    <w:rsid w:val="005C2B30"/>
    <w:rsid w:val="005C2D51"/>
    <w:rsid w:val="005C565F"/>
    <w:rsid w:val="005D0C07"/>
    <w:rsid w:val="005D25D0"/>
    <w:rsid w:val="005D5C25"/>
    <w:rsid w:val="005D6982"/>
    <w:rsid w:val="005E63D9"/>
    <w:rsid w:val="005F5F5F"/>
    <w:rsid w:val="0060238C"/>
    <w:rsid w:val="00622D5C"/>
    <w:rsid w:val="00632C2D"/>
    <w:rsid w:val="00634985"/>
    <w:rsid w:val="00657F1A"/>
    <w:rsid w:val="0066110F"/>
    <w:rsid w:val="006620EA"/>
    <w:rsid w:val="00691ED0"/>
    <w:rsid w:val="006A31E9"/>
    <w:rsid w:val="006A4602"/>
    <w:rsid w:val="006C6949"/>
    <w:rsid w:val="006E3B0F"/>
    <w:rsid w:val="00702C75"/>
    <w:rsid w:val="007074FF"/>
    <w:rsid w:val="00722F04"/>
    <w:rsid w:val="0072380F"/>
    <w:rsid w:val="007330A4"/>
    <w:rsid w:val="007433B9"/>
    <w:rsid w:val="00761B03"/>
    <w:rsid w:val="00764430"/>
    <w:rsid w:val="00777BE1"/>
    <w:rsid w:val="007831F2"/>
    <w:rsid w:val="00786C69"/>
    <w:rsid w:val="00793D3D"/>
    <w:rsid w:val="007D04E9"/>
    <w:rsid w:val="007D143E"/>
    <w:rsid w:val="007E4A61"/>
    <w:rsid w:val="007F3288"/>
    <w:rsid w:val="007F3C63"/>
    <w:rsid w:val="007F66FB"/>
    <w:rsid w:val="007F6E79"/>
    <w:rsid w:val="00800930"/>
    <w:rsid w:val="008044F9"/>
    <w:rsid w:val="00816A59"/>
    <w:rsid w:val="00825A8E"/>
    <w:rsid w:val="008406BF"/>
    <w:rsid w:val="008655EC"/>
    <w:rsid w:val="00883E69"/>
    <w:rsid w:val="0089551D"/>
    <w:rsid w:val="0089642B"/>
    <w:rsid w:val="008964A2"/>
    <w:rsid w:val="008A4544"/>
    <w:rsid w:val="008A4D95"/>
    <w:rsid w:val="008A5F86"/>
    <w:rsid w:val="008C466A"/>
    <w:rsid w:val="008C68D3"/>
    <w:rsid w:val="008C7CCC"/>
    <w:rsid w:val="008D4194"/>
    <w:rsid w:val="008E3217"/>
    <w:rsid w:val="008F33EC"/>
    <w:rsid w:val="00902987"/>
    <w:rsid w:val="00906A67"/>
    <w:rsid w:val="009213F4"/>
    <w:rsid w:val="00935973"/>
    <w:rsid w:val="00935AFB"/>
    <w:rsid w:val="009369B8"/>
    <w:rsid w:val="00937989"/>
    <w:rsid w:val="0094213B"/>
    <w:rsid w:val="00944F5D"/>
    <w:rsid w:val="00950609"/>
    <w:rsid w:val="00950839"/>
    <w:rsid w:val="009608A9"/>
    <w:rsid w:val="00971037"/>
    <w:rsid w:val="00990F91"/>
    <w:rsid w:val="009C3AE9"/>
    <w:rsid w:val="009E085F"/>
    <w:rsid w:val="009F50FA"/>
    <w:rsid w:val="00A06766"/>
    <w:rsid w:val="00A25BF3"/>
    <w:rsid w:val="00A37AF3"/>
    <w:rsid w:val="00A46D9A"/>
    <w:rsid w:val="00A47C39"/>
    <w:rsid w:val="00A64A2F"/>
    <w:rsid w:val="00A8608C"/>
    <w:rsid w:val="00A92154"/>
    <w:rsid w:val="00A96CBC"/>
    <w:rsid w:val="00AB07B4"/>
    <w:rsid w:val="00AB0D12"/>
    <w:rsid w:val="00AB15E5"/>
    <w:rsid w:val="00AB260C"/>
    <w:rsid w:val="00AC6DE1"/>
    <w:rsid w:val="00AF58AE"/>
    <w:rsid w:val="00B15170"/>
    <w:rsid w:val="00B45E5E"/>
    <w:rsid w:val="00B46968"/>
    <w:rsid w:val="00B62A52"/>
    <w:rsid w:val="00B633A9"/>
    <w:rsid w:val="00B67234"/>
    <w:rsid w:val="00B83703"/>
    <w:rsid w:val="00B871EA"/>
    <w:rsid w:val="00B94B7D"/>
    <w:rsid w:val="00B94FF5"/>
    <w:rsid w:val="00B96918"/>
    <w:rsid w:val="00B96BBF"/>
    <w:rsid w:val="00BA5430"/>
    <w:rsid w:val="00BA6736"/>
    <w:rsid w:val="00BB783E"/>
    <w:rsid w:val="00BC0DF5"/>
    <w:rsid w:val="00BD5EB3"/>
    <w:rsid w:val="00BE4341"/>
    <w:rsid w:val="00C0262F"/>
    <w:rsid w:val="00C12D3D"/>
    <w:rsid w:val="00C16973"/>
    <w:rsid w:val="00C17747"/>
    <w:rsid w:val="00C20073"/>
    <w:rsid w:val="00C208DE"/>
    <w:rsid w:val="00C22C16"/>
    <w:rsid w:val="00C33326"/>
    <w:rsid w:val="00C33825"/>
    <w:rsid w:val="00C3405F"/>
    <w:rsid w:val="00C356DE"/>
    <w:rsid w:val="00C47823"/>
    <w:rsid w:val="00C548E9"/>
    <w:rsid w:val="00C811FB"/>
    <w:rsid w:val="00C86556"/>
    <w:rsid w:val="00C872EF"/>
    <w:rsid w:val="00C97228"/>
    <w:rsid w:val="00CA5A8C"/>
    <w:rsid w:val="00CB20BC"/>
    <w:rsid w:val="00CB485E"/>
    <w:rsid w:val="00CD057F"/>
    <w:rsid w:val="00CD3772"/>
    <w:rsid w:val="00CD6D81"/>
    <w:rsid w:val="00CE6286"/>
    <w:rsid w:val="00D00D88"/>
    <w:rsid w:val="00D04307"/>
    <w:rsid w:val="00D1706F"/>
    <w:rsid w:val="00D17979"/>
    <w:rsid w:val="00D51314"/>
    <w:rsid w:val="00D55381"/>
    <w:rsid w:val="00D5789A"/>
    <w:rsid w:val="00D635B9"/>
    <w:rsid w:val="00D7694E"/>
    <w:rsid w:val="00DA677B"/>
    <w:rsid w:val="00DC4452"/>
    <w:rsid w:val="00DD2C05"/>
    <w:rsid w:val="00E34D45"/>
    <w:rsid w:val="00E35A35"/>
    <w:rsid w:val="00E733A5"/>
    <w:rsid w:val="00E9296F"/>
    <w:rsid w:val="00E958E1"/>
    <w:rsid w:val="00EA5C16"/>
    <w:rsid w:val="00EC3A63"/>
    <w:rsid w:val="00EE349D"/>
    <w:rsid w:val="00EE506B"/>
    <w:rsid w:val="00EF55D6"/>
    <w:rsid w:val="00EF5F87"/>
    <w:rsid w:val="00F02087"/>
    <w:rsid w:val="00F102A2"/>
    <w:rsid w:val="00F17D63"/>
    <w:rsid w:val="00F31A07"/>
    <w:rsid w:val="00F329E2"/>
    <w:rsid w:val="00F32D22"/>
    <w:rsid w:val="00F407C8"/>
    <w:rsid w:val="00F40F80"/>
    <w:rsid w:val="00F6141C"/>
    <w:rsid w:val="00F6526C"/>
    <w:rsid w:val="00F674E3"/>
    <w:rsid w:val="00F722C6"/>
    <w:rsid w:val="00F74C3A"/>
    <w:rsid w:val="00F827F7"/>
    <w:rsid w:val="00F86712"/>
    <w:rsid w:val="00F908DA"/>
    <w:rsid w:val="00FA32CA"/>
    <w:rsid w:val="00FC3037"/>
    <w:rsid w:val="00FD214F"/>
    <w:rsid w:val="00FD38FF"/>
    <w:rsid w:val="62F879DC"/>
    <w:rsid w:val="747A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unhideWhenUsed/>
    <w:qFormat/>
    <w:uiPriority w:val="99"/>
    <w:pPr>
      <w:jc w:val="left"/>
    </w:pPr>
  </w:style>
  <w:style w:type="paragraph" w:styleId="4">
    <w:name w:val="Body Text"/>
    <w:basedOn w:val="1"/>
    <w:link w:val="18"/>
    <w:semiHidden/>
    <w:unhideWhenUsed/>
    <w:qFormat/>
    <w:uiPriority w:val="99"/>
    <w:pPr>
      <w:spacing w:after="120"/>
    </w:pPr>
    <w:rPr>
      <w:rFonts w:ascii="等线" w:hAnsi="宋体" w:eastAsia="等线"/>
    </w:rPr>
  </w:style>
  <w:style w:type="paragraph" w:styleId="5">
    <w:name w:val="Balloon Text"/>
    <w:basedOn w:val="1"/>
    <w:link w:val="16"/>
    <w:semiHidden/>
    <w:unhideWhenUsed/>
    <w:qFormat/>
    <w:uiPriority w:val="99"/>
    <w:rPr>
      <w:sz w:val="18"/>
      <w:szCs w:val="18"/>
    </w:rPr>
  </w:style>
  <w:style w:type="paragraph" w:styleId="6">
    <w:name w:val="footer"/>
    <w:basedOn w:val="1"/>
    <w:link w:val="13"/>
    <w:semiHidden/>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5"/>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7"/>
    <w:semiHidden/>
    <w:qFormat/>
    <w:uiPriority w:val="99"/>
    <w:rPr>
      <w:rFonts w:ascii="Times New Roman" w:hAnsi="Times New Roman" w:eastAsia="宋体" w:cs="Times New Roman"/>
      <w:sz w:val="18"/>
      <w:szCs w:val="18"/>
    </w:rPr>
  </w:style>
  <w:style w:type="character" w:customStyle="1" w:styleId="13">
    <w:name w:val="页脚 Char"/>
    <w:basedOn w:val="10"/>
    <w:link w:val="6"/>
    <w:semiHidden/>
    <w:qFormat/>
    <w:uiPriority w:val="99"/>
    <w:rPr>
      <w:rFonts w:ascii="Times New Roman" w:hAnsi="Times New Roman" w:eastAsia="宋体" w:cs="Times New Roman"/>
      <w:sz w:val="18"/>
      <w:szCs w:val="18"/>
    </w:rPr>
  </w:style>
  <w:style w:type="character" w:customStyle="1" w:styleId="14">
    <w:name w:val="批注文字 Char"/>
    <w:basedOn w:val="10"/>
    <w:link w:val="3"/>
    <w:semiHidden/>
    <w:qFormat/>
    <w:uiPriority w:val="99"/>
    <w:rPr>
      <w:rFonts w:ascii="Times New Roman" w:hAnsi="Times New Roman" w:eastAsia="宋体" w:cs="Times New Roman"/>
      <w:szCs w:val="24"/>
    </w:rPr>
  </w:style>
  <w:style w:type="character" w:customStyle="1" w:styleId="15">
    <w:name w:val="批注主题 Char"/>
    <w:basedOn w:val="14"/>
    <w:link w:val="8"/>
    <w:semiHidden/>
    <w:uiPriority w:val="99"/>
    <w:rPr>
      <w:b/>
      <w:bCs/>
    </w:rPr>
  </w:style>
  <w:style w:type="character" w:customStyle="1" w:styleId="16">
    <w:name w:val="批注框文本 Char"/>
    <w:basedOn w:val="10"/>
    <w:link w:val="5"/>
    <w:semiHidden/>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正文文本 Char"/>
    <w:basedOn w:val="10"/>
    <w:link w:val="4"/>
    <w:semiHidden/>
    <w:qFormat/>
    <w:uiPriority w:val="99"/>
    <w:rPr>
      <w:rFonts w:ascii="等线" w:hAnsi="宋体" w:eastAsia="等线" w:cs="Times New Roman"/>
      <w:szCs w:val="24"/>
    </w:rPr>
  </w:style>
  <w:style w:type="character" w:customStyle="1" w:styleId="19">
    <w:name w:val="NormalCharacter"/>
    <w:qFormat/>
    <w:uiPriority w:val="99"/>
    <w:rPr>
      <w:rFonts w:hint="default" w:ascii="Calibri" w:hAnsi="Calibri" w:eastAsia="宋体" w:cs="Times New Roman"/>
      <w:kern w:val="2"/>
      <w:sz w:val="21"/>
      <w:szCs w:val="24"/>
      <w:lang w:val="en-US" w:eastAsia="zh-CN" w:bidi="ar-SA"/>
    </w:rPr>
  </w:style>
  <w:style w:type="character" w:customStyle="1" w:styleId="20">
    <w:name w:val="标题 1 Char"/>
    <w:basedOn w:val="10"/>
    <w:link w:val="2"/>
    <w:uiPriority w:val="9"/>
    <w:rPr>
      <w:rFonts w:ascii="宋体" w:hAnsi="宋体" w:eastAsia="宋体" w:cs="宋体"/>
      <w:b/>
      <w:bCs/>
      <w:kern w:val="36"/>
      <w:sz w:val="48"/>
      <w:szCs w:val="48"/>
    </w:rPr>
  </w:style>
  <w:style w:type="character" w:customStyle="1" w:styleId="21">
    <w:name w:val="doc_title"/>
    <w:basedOn w:val="10"/>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5871C1-506F-4548-AC57-DC3E6D239082}">
  <ds:schemaRefs/>
</ds:datastoreItem>
</file>

<file path=docProps/app.xml><?xml version="1.0" encoding="utf-8"?>
<Properties xmlns="http://schemas.openxmlformats.org/officeDocument/2006/extended-properties" xmlns:vt="http://schemas.openxmlformats.org/officeDocument/2006/docPropsVTypes">
  <Template>Normal</Template>
  <Pages>9</Pages>
  <Words>4341</Words>
  <Characters>4574</Characters>
  <Lines>32</Lines>
  <Paragraphs>9</Paragraphs>
  <TotalTime>0</TotalTime>
  <ScaleCrop>false</ScaleCrop>
  <LinksUpToDate>false</LinksUpToDate>
  <CharactersWithSpaces>4581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2022-08-19T02:55:00Z</dcterms:created>
  <dc:creator>admin</dc:creator>
  <cp:lastModifiedBy>admin</cp:lastModifiedBy>
  <cp:lastPrinted>2022-01-27T08:09:00Z</cp:lastPrinted>
  <dcterms:modified xsi:type="dcterms:W3CDTF">2023-06-09T03:33:48Z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B2799ECF5160449C8D92D1D70FEC5A91</vt:lpwstr>
  </property>
</Properties>
</file>