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textAlignment w:val="center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</w:t>
      </w:r>
    </w:p>
    <w:p>
      <w:pPr>
        <w:spacing w:after="120" w:afterLines="50" w:line="600" w:lineRule="exact"/>
        <w:ind w:firstLine="720"/>
        <w:jc w:val="center"/>
        <w:outlineLvl w:val="0"/>
        <w:rPr>
          <w:rFonts w:ascii="宋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ascii="宋体" w:hAnsi="宋体" w:eastAsia="方正小标宋简体" w:cs="宋体"/>
          <w:kern w:val="0"/>
          <w:sz w:val="44"/>
          <w:szCs w:val="44"/>
        </w:rPr>
        <w:t>20</w:t>
      </w:r>
      <w:r>
        <w:rPr>
          <w:rFonts w:hint="eastAsia" w:ascii="宋体" w:hAnsi="宋体" w:eastAsia="方正小标宋简体" w:cs="宋体"/>
          <w:kern w:val="0"/>
          <w:sz w:val="44"/>
          <w:szCs w:val="44"/>
        </w:rPr>
        <w:t>20年</w:t>
      </w:r>
      <w:r>
        <w:rPr>
          <w:rFonts w:hint="eastAsia" w:ascii="宋体" w:hAnsi="宋体" w:eastAsia="方正小标宋简体" w:cs="宋体"/>
          <w:kern w:val="0"/>
          <w:sz w:val="44"/>
          <w:szCs w:val="44"/>
          <w:lang w:eastAsia="zh-CN"/>
        </w:rPr>
        <w:t>莲花镇</w:t>
      </w:r>
      <w:r>
        <w:rPr>
          <w:rFonts w:hint="eastAsia" w:ascii="宋体" w:hAnsi="宋体" w:eastAsia="方正小标宋简体" w:cs="宋体"/>
          <w:kern w:val="0"/>
          <w:sz w:val="44"/>
          <w:szCs w:val="44"/>
        </w:rPr>
        <w:t>蓝天保卫战工作绩效考核要点</w:t>
      </w:r>
    </w:p>
    <w:bookmarkEnd w:id="0"/>
    <w:tbl>
      <w:tblPr>
        <w:tblStyle w:val="2"/>
        <w:tblW w:w="13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990"/>
        <w:gridCol w:w="2610"/>
        <w:gridCol w:w="537"/>
        <w:gridCol w:w="8133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tblHeader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黑体" w:cs="仿宋"/>
                <w:sz w:val="24"/>
                <w:szCs w:val="24"/>
              </w:rPr>
            </w:pPr>
            <w:r>
              <w:rPr>
                <w:rFonts w:hint="eastAsia" w:ascii="宋体" w:hAnsi="宋体" w:eastAsia="黑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黑体" w:cs="仿宋"/>
                <w:sz w:val="24"/>
                <w:szCs w:val="24"/>
              </w:rPr>
            </w:pPr>
            <w:r>
              <w:rPr>
                <w:rFonts w:hint="eastAsia" w:ascii="宋体" w:hAnsi="宋体" w:eastAsia="黑体" w:cs="仿宋"/>
                <w:sz w:val="24"/>
                <w:szCs w:val="24"/>
              </w:rPr>
              <w:t>考核内容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黑体" w:cs="仿宋"/>
                <w:sz w:val="24"/>
                <w:szCs w:val="24"/>
              </w:rPr>
            </w:pPr>
            <w:r>
              <w:rPr>
                <w:rFonts w:hint="eastAsia" w:ascii="宋体" w:hAnsi="宋体" w:eastAsia="黑体" w:cs="仿宋"/>
                <w:sz w:val="24"/>
                <w:szCs w:val="24"/>
              </w:rPr>
              <w:t>分值</w:t>
            </w:r>
          </w:p>
        </w:tc>
        <w:tc>
          <w:tcPr>
            <w:tcW w:w="8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宋体" w:hAnsi="宋体" w:eastAsia="黑体" w:cs="仿宋"/>
                <w:sz w:val="24"/>
                <w:szCs w:val="24"/>
              </w:rPr>
            </w:pPr>
            <w:r>
              <w:rPr>
                <w:rFonts w:hint="eastAsia" w:ascii="宋体" w:hAnsi="宋体" w:eastAsia="黑体" w:cs="仿宋"/>
                <w:kern w:val="0"/>
                <w:sz w:val="24"/>
                <w:szCs w:val="24"/>
              </w:rPr>
              <w:t>评 分 细 则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黑体" w:cs="仿宋"/>
                <w:sz w:val="24"/>
                <w:szCs w:val="24"/>
              </w:rPr>
            </w:pPr>
            <w:r>
              <w:rPr>
                <w:rFonts w:hint="eastAsia" w:ascii="宋体" w:hAnsi="宋体" w:eastAsia="黑体" w:cs="仿宋"/>
                <w:kern w:val="0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  <w:t>加强监管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网格化监管机制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建立村（社区）书记负总责，主任具体抓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落实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，支村（居）两委成员分片负责，组长包组，党小组长、妇女队长积极参与网格化监管机制，成立一支蓝天保卫战日常巡查、宣传、应急处置队伍，明确责任人，每少一处扣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1分。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  <w:lang w:eastAsia="zh-CN"/>
              </w:rPr>
              <w:t>镇级巡查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巡查内容：露天焚烧、</w:t>
            </w:r>
            <w:r>
              <w:rPr>
                <w:rFonts w:hint="eastAsia" w:ascii="宋体" w:hAnsi="宋体" w:eastAsia="仿宋_GB2312" w:cs="仿宋"/>
                <w:sz w:val="24"/>
                <w:szCs w:val="24"/>
                <w:lang w:eastAsia="zh-CN"/>
              </w:rPr>
              <w:t>餐饮门店油烟污染、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散煤禁烧、黄土裸露、污水乱排等涉及蓝天保卫战的内容。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  <w:t>50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仿宋_GB2312" w:cs="仿宋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每发现一例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露天焚烧（垃圾、秸秆、杂草；露天烧烤），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扣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；发现一起焚烧痕迹，扣1分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严控餐饮门店油烟污染，每发现一例餐饮门店未安装油烟净化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器，扣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2分；设施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未运行、未定期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清洗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维护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扣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分。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落实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散煤禁烧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清零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工作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每发现一例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生产、销售、使用散煤的，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扣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分。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每发现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一例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大面积裸露黄土或村组道路到处散落黄土的，扣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2分。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5、每发现一处居民生活污水横流扣1分，发现一处企业污水外流扣2分。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以上整改问题，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5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  <w:lang w:eastAsia="zh-CN"/>
              </w:rPr>
              <w:t>问题处置及整改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上级巡查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交办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问题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12345工单（环保类）</w:t>
            </w:r>
          </w:p>
        </w:tc>
        <w:tc>
          <w:tcPr>
            <w:tcW w:w="5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未按时间节点（交办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规定完成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时限）整改到位的，每处扣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分。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仿宋_GB2312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镇交办问题处置</w:t>
            </w:r>
          </w:p>
        </w:tc>
        <w:tc>
          <w:tcPr>
            <w:tcW w:w="5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对于镇巡查发现问题通知</w:t>
            </w:r>
            <w:r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村（社区）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现场处置的情况，村（社区）未</w:t>
            </w:r>
            <w:r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安排负责人及时到现场进行处置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的，</w:t>
            </w:r>
            <w:r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扣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；到现场处理但处置不到位的，扣2分。</w:t>
            </w:r>
          </w:p>
        </w:tc>
        <w:tc>
          <w:tcPr>
            <w:tcW w:w="81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仿宋_GB2312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负面清单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通报批评、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市、区主要领导批示问题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1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被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市、区蓝天办等单位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通报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批评或被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市、区主要领导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现场巡查发现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批示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val="en-US" w:eastAsia="zh-CN"/>
              </w:rPr>
              <w:t>整改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  <w:t>问题</w:t>
            </w:r>
            <w:r>
              <w:rPr>
                <w:rFonts w:hint="eastAsia" w:ascii="宋体" w:hAnsi="宋体" w:eastAsia="仿宋_GB2312" w:cs="仿宋"/>
                <w:kern w:val="0"/>
                <w:sz w:val="24"/>
                <w:szCs w:val="24"/>
                <w:lang w:eastAsia="zh-CN"/>
              </w:rPr>
              <w:t>的，当月一票否。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宋体" w:hAnsi="宋体" w:eastAsia="仿宋_GB2312" w:cs="仿宋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952" w:right="1440" w:bottom="140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540A8"/>
    <w:rsid w:val="79B5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2020-05-20T08:08:00Z</dcterms:created>
  <dc:creator>WPS_1467726983</dc:creator>
  <cp:lastModifiedBy>WPS_1467726983</cp:lastModifiedBy>
  <dcterms:modified xsi:type="dcterms:W3CDTF">2020-05-20T08:09:24Z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