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b w:val="0"/>
          <w:bCs/>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after="312" w:afterLines="100" w:line="720" w:lineRule="exact"/>
        <w:jc w:val="center"/>
        <w:textAlignment w:val="baseline"/>
        <w:rPr>
          <w:rFonts w:hint="eastAsia" w:ascii="仿宋_GB2312" w:eastAsia="仿宋_GB2312"/>
          <w:sz w:val="30"/>
          <w:szCs w:val="30"/>
        </w:rPr>
      </w:pPr>
      <w:r>
        <w:rPr>
          <w:rFonts w:hint="eastAsia"/>
          <w:b/>
          <w:sz w:val="36"/>
          <w:szCs w:val="36"/>
        </w:rPr>
        <w:t xml:space="preserve"> </w:t>
      </w:r>
    </w:p>
    <w:p>
      <w:pPr>
        <w:pStyle w:val="2"/>
        <w:rPr>
          <w:rFonts w:hint="eastAsia" w:ascii="仿宋_GB2312" w:eastAsia="仿宋_GB2312"/>
          <w:sz w:val="30"/>
          <w:szCs w:val="30"/>
        </w:rPr>
      </w:pPr>
    </w:p>
    <w:p>
      <w:pPr>
        <w:pStyle w:val="3"/>
        <w:keepNext w:val="0"/>
        <w:keepLines w:val="0"/>
        <w:pageBreakBefore w:val="0"/>
        <w:widowControl/>
        <w:kinsoku/>
        <w:wordWrap/>
        <w:overflowPunct/>
        <w:topLinePunct w:val="0"/>
        <w:autoSpaceDE/>
        <w:autoSpaceDN/>
        <w:bidi w:val="0"/>
        <w:adjustRightInd/>
        <w:snapToGrid/>
        <w:spacing w:after="0" w:line="800" w:lineRule="exact"/>
        <w:rPr>
          <w:rFonts w:hint="eastAsia"/>
        </w:rPr>
      </w:pPr>
    </w:p>
    <w:p>
      <w:pPr>
        <w:keepNext w:val="0"/>
        <w:keepLines w:val="0"/>
        <w:pageBreakBefore w:val="0"/>
        <w:widowControl/>
        <w:kinsoku/>
        <w:wordWrap/>
        <w:overflowPunct/>
        <w:topLinePunct w:val="0"/>
        <w:autoSpaceDE/>
        <w:autoSpaceDN/>
        <w:bidi w:val="0"/>
        <w:adjustRightInd/>
        <w:snapToGrid/>
        <w:spacing w:after="0" w:line="900" w:lineRule="exact"/>
        <w:jc w:val="center"/>
        <w:textAlignment w:val="baseline"/>
        <w:rPr>
          <w:rFonts w:hint="eastAsia" w:ascii="仿宋_GB2312" w:eastAsia="仿宋_GB2312"/>
          <w:sz w:val="30"/>
          <w:szCs w:val="30"/>
        </w:rPr>
      </w:pPr>
    </w:p>
    <w:p>
      <w:pPr>
        <w:spacing w:after="312" w:afterLines="100" w:line="3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xml:space="preserve"> 东发﹝202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号</w:t>
      </w:r>
    </w:p>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ascii="方正小标宋简体" w:hAnsi="方正小标宋简体" w:eastAsia="方正小标宋简体" w:cs="方正小标宋简体"/>
          <w:bCs/>
          <w:spacing w:val="-17"/>
          <w:sz w:val="44"/>
          <w:szCs w:val="44"/>
        </w:rPr>
      </w:pPr>
      <w:r>
        <w:rPr>
          <w:rFonts w:hint="eastAsia" w:ascii="方正小标宋简体" w:hAnsi="方正小标宋简体" w:eastAsia="方正小标宋简体" w:cs="方正小标宋简体"/>
          <w:bCs/>
          <w:spacing w:val="-17"/>
          <w:kern w:val="0"/>
          <w:sz w:val="44"/>
          <w:szCs w:val="44"/>
          <w:lang w:eastAsia="zh-CN"/>
        </w:rPr>
        <w:t>中共</w:t>
      </w:r>
      <w:r>
        <w:rPr>
          <w:rFonts w:hint="eastAsia" w:ascii="方正小标宋简体" w:hAnsi="方正小标宋简体" w:eastAsia="方正小标宋简体" w:cs="方正小标宋简体"/>
          <w:bCs/>
          <w:spacing w:val="14"/>
          <w:kern w:val="0"/>
          <w:sz w:val="44"/>
          <w:szCs w:val="44"/>
          <w:fitText w:val="7480" w:id="2092910940"/>
          <w:lang w:eastAsia="zh-CN"/>
        </w:rPr>
        <w:t>长沙市岳麓区</w:t>
      </w:r>
      <w:r>
        <w:rPr>
          <w:rFonts w:hint="eastAsia" w:ascii="方正小标宋简体" w:hAnsi="方正小标宋简体" w:eastAsia="方正小标宋简体" w:cs="方正小标宋简体"/>
          <w:bCs/>
          <w:spacing w:val="14"/>
          <w:kern w:val="0"/>
          <w:sz w:val="44"/>
          <w:szCs w:val="44"/>
          <w:fitText w:val="7480" w:id="2092910940"/>
        </w:rPr>
        <w:t>东方红街道工作委员</w:t>
      </w:r>
      <w:r>
        <w:rPr>
          <w:rFonts w:hint="eastAsia" w:ascii="方正小标宋简体" w:hAnsi="方正小标宋简体" w:eastAsia="方正小标宋简体" w:cs="方正小标宋简体"/>
          <w:bCs/>
          <w:spacing w:val="10"/>
          <w:kern w:val="0"/>
          <w:sz w:val="44"/>
          <w:szCs w:val="44"/>
          <w:fitText w:val="7480" w:id="2092910940"/>
        </w:rPr>
        <w:t>会</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color w:val="auto"/>
          <w:sz w:val="44"/>
          <w:szCs w:val="52"/>
          <w:highlight w:val="none"/>
        </w:rPr>
      </w:pPr>
      <w:r>
        <w:rPr>
          <w:rFonts w:hint="eastAsia" w:ascii="方正小标宋简体" w:hAnsi="方正小标宋简体" w:eastAsia="方正小标宋简体" w:cs="方正小标宋简体"/>
          <w:color w:val="auto"/>
          <w:sz w:val="44"/>
          <w:szCs w:val="52"/>
          <w:highlight w:val="none"/>
          <w:lang w:eastAsia="zh-CN"/>
        </w:rPr>
        <w:t>印发《</w:t>
      </w:r>
      <w:r>
        <w:rPr>
          <w:rFonts w:hint="eastAsia" w:ascii="方正小标宋简体" w:hAnsi="方正小标宋简体" w:eastAsia="方正小标宋简体" w:cs="方正小标宋简体"/>
          <w:color w:val="auto"/>
          <w:sz w:val="44"/>
          <w:szCs w:val="52"/>
          <w:highlight w:val="none"/>
        </w:rPr>
        <w:t>关于深化“党建聚合力”工程 打造“</w:t>
      </w:r>
      <w:r>
        <w:rPr>
          <w:rFonts w:hint="eastAsia" w:ascii="方正小标宋简体" w:hAnsi="方正小标宋简体" w:eastAsia="方正小标宋简体" w:cs="方正小标宋简体"/>
          <w:color w:val="auto"/>
          <w:sz w:val="44"/>
          <w:szCs w:val="52"/>
          <w:highlight w:val="none"/>
          <w:lang w:val="en-US" w:eastAsia="zh-CN"/>
        </w:rPr>
        <w:t>红色‘联’动力</w:t>
      </w:r>
      <w:r>
        <w:rPr>
          <w:rFonts w:hint="eastAsia" w:ascii="方正小标宋简体" w:hAnsi="方正小标宋简体" w:eastAsia="方正小标宋简体" w:cs="方正小标宋简体"/>
          <w:color w:val="auto"/>
          <w:sz w:val="44"/>
          <w:szCs w:val="52"/>
          <w:highlight w:val="none"/>
        </w:rPr>
        <w:t>”湘江青春党建品牌的</w:t>
      </w:r>
    </w:p>
    <w:p>
      <w:pPr>
        <w:keepNext w:val="0"/>
        <w:keepLines w:val="0"/>
        <w:pageBreakBefore w:val="0"/>
        <w:kinsoku/>
        <w:wordWrap/>
        <w:overflowPunct/>
        <w:topLinePunct w:val="0"/>
        <w:autoSpaceDE/>
        <w:autoSpaceDN/>
        <w:bidi w:val="0"/>
        <w:adjustRightInd/>
        <w:snapToGrid/>
        <w:spacing w:line="579" w:lineRule="exact"/>
        <w:jc w:val="center"/>
        <w:textAlignment w:val="auto"/>
        <w:rPr>
          <w:rFonts w:ascii="方正小标宋简体" w:hAnsi="方正小标宋简体" w:eastAsia="方正小标宋简体" w:cs="方正小标宋简体"/>
          <w:color w:val="auto"/>
          <w:sz w:val="44"/>
          <w:szCs w:val="52"/>
          <w:highlight w:val="none"/>
        </w:rPr>
      </w:pPr>
      <w:bookmarkStart w:id="0" w:name="_GoBack"/>
      <w:bookmarkEnd w:id="0"/>
      <w:r>
        <w:rPr>
          <w:rFonts w:hint="eastAsia" w:ascii="方正小标宋简体" w:hAnsi="方正小标宋简体" w:eastAsia="方正小标宋简体" w:cs="方正小标宋简体"/>
          <w:color w:val="auto"/>
          <w:sz w:val="44"/>
          <w:szCs w:val="52"/>
          <w:highlight w:val="none"/>
        </w:rPr>
        <w:t>实施意见(试行）</w:t>
      </w:r>
      <w:r>
        <w:rPr>
          <w:rFonts w:hint="eastAsia" w:ascii="方正小标宋简体" w:hAnsi="方正小标宋简体" w:eastAsia="方正小标宋简体" w:cs="方正小标宋简体"/>
          <w:color w:val="auto"/>
          <w:sz w:val="44"/>
          <w:szCs w:val="52"/>
          <w:highlight w:val="none"/>
          <w:lang w:eastAsia="zh-CN"/>
        </w:rPr>
        <w:t>》的通知</w:t>
      </w:r>
    </w:p>
    <w:p>
      <w:pPr>
        <w:pStyle w:val="4"/>
        <w:keepNext w:val="0"/>
        <w:keepLines w:val="0"/>
        <w:pageBreakBefore w:val="0"/>
        <w:kinsoku/>
        <w:wordWrap/>
        <w:overflowPunct/>
        <w:topLinePunct w:val="0"/>
        <w:autoSpaceDE/>
        <w:autoSpaceDN/>
        <w:bidi w:val="0"/>
        <w:adjustRightInd/>
        <w:snapToGrid/>
        <w:spacing w:line="579" w:lineRule="exact"/>
        <w:ind w:left="0" w:firstLine="420" w:firstLineChars="200"/>
        <w:jc w:val="both"/>
        <w:textAlignment w:val="auto"/>
        <w:rPr>
          <w:color w:val="auto"/>
          <w:highlight w:val="none"/>
        </w:rPr>
      </w:pPr>
    </w:p>
    <w:p>
      <w:pPr>
        <w:shd w:val="clear" w:color="auto" w:fill="FFFFFF"/>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各村（社区）、两新</w:t>
      </w:r>
      <w:r>
        <w:rPr>
          <w:rFonts w:hint="eastAsia" w:ascii="仿宋_GB2312" w:hAnsi="仿宋_GB2312" w:eastAsia="仿宋_GB2312" w:cs="仿宋_GB2312"/>
          <w:color w:val="auto"/>
          <w:sz w:val="32"/>
          <w:szCs w:val="32"/>
          <w:lang w:val="en-US" w:eastAsia="zh-CN"/>
        </w:rPr>
        <w:t>组织</w:t>
      </w:r>
      <w:r>
        <w:rPr>
          <w:rFonts w:hint="eastAsia" w:ascii="仿宋_GB2312" w:hAnsi="仿宋_GB2312" w:eastAsia="仿宋_GB2312" w:cs="仿宋_GB2312"/>
          <w:sz w:val="32"/>
          <w:szCs w:val="32"/>
        </w:rPr>
        <w:t>党组织：</w:t>
      </w:r>
    </w:p>
    <w:p>
      <w:pPr>
        <w:shd w:val="clear" w:color="auto" w:fill="FFFFFF"/>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《关于深化“党建聚合力”工程 打造“</w:t>
      </w:r>
      <w:r>
        <w:rPr>
          <w:rFonts w:hint="eastAsia" w:ascii="仿宋_GB2312" w:hAnsi="仿宋_GB2312" w:eastAsia="仿宋_GB2312" w:cs="仿宋_GB2312"/>
          <w:sz w:val="32"/>
          <w:szCs w:val="32"/>
          <w:lang w:val="en-US" w:eastAsia="zh-CN"/>
        </w:rPr>
        <w:t>红色‘联’动力</w:t>
      </w:r>
      <w:r>
        <w:rPr>
          <w:rFonts w:hint="eastAsia" w:ascii="仿宋_GB2312" w:hAnsi="仿宋_GB2312" w:eastAsia="仿宋_GB2312" w:cs="仿宋_GB2312"/>
          <w:sz w:val="32"/>
          <w:szCs w:val="32"/>
        </w:rPr>
        <w:t>”湘江青春党建品牌的实施意见(试行）》已由街道党工委研究通过，现予以印发，请认真遵照执行。</w:t>
      </w:r>
    </w:p>
    <w:p>
      <w:pPr>
        <w:shd w:val="clear" w:color="auto" w:fill="FFFFFF"/>
        <w:snapToGrid w:val="0"/>
        <w:spacing w:line="560" w:lineRule="exact"/>
        <w:ind w:firstLine="480" w:firstLineChars="150"/>
        <w:rPr>
          <w:rFonts w:ascii="仿宋_GB2312" w:hAnsi="仿宋_GB2312" w:eastAsia="仿宋_GB2312" w:cs="仿宋_GB2312"/>
          <w:sz w:val="32"/>
          <w:szCs w:val="32"/>
        </w:rPr>
      </w:pPr>
    </w:p>
    <w:p>
      <w:pPr>
        <w:shd w:val="clear" w:color="auto" w:fill="FFFFFF"/>
        <w:snapToGrid w:val="0"/>
        <w:spacing w:line="560" w:lineRule="exact"/>
        <w:ind w:firstLine="4320" w:firstLineChars="1350"/>
        <w:jc w:val="right"/>
        <w:rPr>
          <w:rFonts w:ascii="仿宋_GB2312" w:hAnsi="仿宋_GB2312" w:eastAsia="仿宋_GB2312" w:cs="仿宋_GB2312"/>
          <w:sz w:val="32"/>
          <w:szCs w:val="32"/>
        </w:rPr>
      </w:pPr>
    </w:p>
    <w:p>
      <w:pPr>
        <w:shd w:val="clear" w:color="auto" w:fill="FFFFFF"/>
        <w:snapToGrid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中共长沙</w:t>
      </w:r>
      <w:r>
        <w:rPr>
          <w:rFonts w:hint="eastAsia" w:ascii="仿宋_GB2312" w:hAnsi="仿宋_GB2312" w:eastAsia="仿宋_GB2312" w:cs="仿宋_GB2312"/>
          <w:sz w:val="32"/>
          <w:szCs w:val="32"/>
          <w:lang w:eastAsia="zh-CN"/>
        </w:rPr>
        <w:t>市岳麓区</w:t>
      </w:r>
      <w:r>
        <w:rPr>
          <w:rFonts w:hint="eastAsia" w:ascii="仿宋_GB2312" w:hAnsi="仿宋_GB2312" w:eastAsia="仿宋_GB2312" w:cs="仿宋_GB2312"/>
          <w:sz w:val="32"/>
          <w:szCs w:val="32"/>
        </w:rPr>
        <w:t>东方红街道工作委员会</w:t>
      </w:r>
    </w:p>
    <w:p>
      <w:pPr>
        <w:shd w:val="clear" w:color="auto" w:fill="FFFFFF"/>
        <w:snapToGrid w:val="0"/>
        <w:spacing w:line="560" w:lineRule="exact"/>
        <w:rPr>
          <w:rFonts w:hint="eastAsia" w:ascii="方正小标宋简体" w:hAnsi="方正小标宋简体" w:eastAsia="方正小标宋简体" w:cs="方正小标宋简体"/>
          <w:b w:val="0"/>
          <w:bCs w:val="0"/>
          <w:sz w:val="44"/>
          <w:szCs w:val="44"/>
          <w:lang w:eastAsia="zh-CN"/>
        </w:rPr>
      </w:pPr>
      <w:r>
        <w:rPr>
          <w:rFonts w:hint="eastAsia" w:ascii="仿宋_GB2312" w:hAnsi="仿宋_GB2312" w:eastAsia="仿宋_GB2312" w:cs="仿宋_GB2312"/>
          <w:spacing w:val="-17"/>
          <w:sz w:val="32"/>
          <w:szCs w:val="32"/>
        </w:rPr>
        <w:t xml:space="preserve">               </w:t>
      </w:r>
      <w:r>
        <w:rPr>
          <w:rFonts w:hint="eastAsia" w:ascii="仿宋_GB2312" w:hAnsi="仿宋_GB2312" w:eastAsia="仿宋_GB2312" w:cs="仿宋_GB2312"/>
          <w:spacing w:val="40"/>
          <w:sz w:val="32"/>
          <w:szCs w:val="32"/>
          <w:lang w:val="en-US" w:eastAsia="zh-CN"/>
        </w:rPr>
        <w:t xml:space="preserve">         </w:t>
      </w:r>
      <w:r>
        <w:rPr>
          <w:rFonts w:hint="eastAsia" w:ascii="仿宋_GB2312" w:hAnsi="仿宋_GB2312" w:eastAsia="仿宋_GB2312" w:cs="仿宋_GB2312"/>
          <w:spacing w:val="40"/>
          <w:sz w:val="32"/>
          <w:szCs w:val="32"/>
        </w:rPr>
        <w:t>2023年</w:t>
      </w:r>
      <w:r>
        <w:rPr>
          <w:rFonts w:hint="eastAsia" w:ascii="仿宋_GB2312" w:hAnsi="仿宋_GB2312" w:eastAsia="仿宋_GB2312" w:cs="仿宋_GB2312"/>
          <w:spacing w:val="40"/>
          <w:sz w:val="32"/>
          <w:szCs w:val="32"/>
          <w:lang w:val="en-US" w:eastAsia="zh-CN"/>
        </w:rPr>
        <w:t>10</w:t>
      </w:r>
      <w:r>
        <w:rPr>
          <w:rFonts w:hint="eastAsia" w:ascii="仿宋_GB2312" w:hAnsi="仿宋_GB2312" w:eastAsia="仿宋_GB2312" w:cs="仿宋_GB2312"/>
          <w:spacing w:val="40"/>
          <w:sz w:val="32"/>
          <w:szCs w:val="32"/>
        </w:rPr>
        <w:t>月</w:t>
      </w:r>
      <w:r>
        <w:rPr>
          <w:rFonts w:hint="eastAsia" w:ascii="仿宋_GB2312" w:hAnsi="仿宋_GB2312" w:eastAsia="仿宋_GB2312" w:cs="仿宋_GB2312"/>
          <w:spacing w:val="40"/>
          <w:sz w:val="32"/>
          <w:szCs w:val="32"/>
          <w:lang w:val="en-US" w:eastAsia="zh-CN"/>
        </w:rPr>
        <w:t>7</w:t>
      </w:r>
      <w:r>
        <w:rPr>
          <w:rFonts w:hint="eastAsia" w:ascii="仿宋_GB2312" w:hAnsi="仿宋_GB2312" w:eastAsia="仿宋_GB2312" w:cs="仿宋_GB2312"/>
          <w:spacing w:val="40"/>
          <w:sz w:val="32"/>
          <w:szCs w:val="32"/>
        </w:rPr>
        <w:t>日</w:t>
      </w:r>
      <w:r>
        <w:rPr>
          <w:rFonts w:hint="eastAsia" w:ascii="仿宋_GB2312" w:hAnsi="仿宋_GB2312" w:eastAsia="仿宋_GB2312" w:cs="仿宋_GB2312"/>
          <w:spacing w:val="51"/>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44"/>
          <w:szCs w:val="52"/>
          <w:highlight w:val="none"/>
        </w:rPr>
      </w:pPr>
      <w:r>
        <w:rPr>
          <w:rFonts w:hint="eastAsia" w:ascii="宋体" w:hAnsi="宋体" w:eastAsia="宋体" w:cs="宋体"/>
          <w:color w:val="auto"/>
          <w:sz w:val="44"/>
          <w:szCs w:val="52"/>
          <w:highlight w:val="none"/>
        </w:rPr>
        <w:t>关于深化“党建聚合力”工程 打造“</w:t>
      </w:r>
      <w:r>
        <w:rPr>
          <w:rFonts w:hint="eastAsia" w:ascii="宋体" w:hAnsi="宋体" w:eastAsia="宋体" w:cs="宋体"/>
          <w:color w:val="auto"/>
          <w:sz w:val="44"/>
          <w:szCs w:val="52"/>
          <w:highlight w:val="none"/>
          <w:lang w:val="en-US" w:eastAsia="zh-CN"/>
        </w:rPr>
        <w:t>红色‘联’动力</w:t>
      </w:r>
      <w:r>
        <w:rPr>
          <w:rFonts w:hint="eastAsia" w:ascii="宋体" w:hAnsi="宋体" w:eastAsia="宋体" w:cs="宋体"/>
          <w:color w:val="auto"/>
          <w:sz w:val="44"/>
          <w:szCs w:val="52"/>
          <w:highlight w:val="none"/>
        </w:rPr>
        <w:t>”湘江青春党建品牌的实施意见(试行）</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为深入学习</w:t>
      </w:r>
      <w:r>
        <w:rPr>
          <w:rFonts w:hint="eastAsia" w:ascii="仿宋_GB2312" w:hAnsi="仿宋_GB2312" w:eastAsia="仿宋_GB2312" w:cs="仿宋_GB2312"/>
          <w:color w:val="auto"/>
          <w:sz w:val="32"/>
          <w:szCs w:val="32"/>
          <w:highlight w:val="none"/>
          <w:lang w:val="en-US" w:eastAsia="zh-CN"/>
        </w:rPr>
        <w:t>贯彻</w:t>
      </w:r>
      <w:r>
        <w:rPr>
          <w:rFonts w:hint="eastAsia" w:ascii="仿宋_GB2312" w:hAnsi="仿宋_GB2312" w:eastAsia="仿宋_GB2312" w:cs="仿宋_GB2312"/>
          <w:color w:val="auto"/>
          <w:sz w:val="32"/>
          <w:szCs w:val="32"/>
          <w:highlight w:val="none"/>
        </w:rPr>
        <w:t>习近平新时代中国特色社会主义思想，全面贯彻</w:t>
      </w:r>
      <w:r>
        <w:rPr>
          <w:rFonts w:hint="eastAsia" w:ascii="仿宋_GB2312" w:hAnsi="仿宋_GB2312" w:eastAsia="仿宋_GB2312" w:cs="仿宋_GB2312"/>
          <w:color w:val="auto"/>
          <w:sz w:val="32"/>
          <w:szCs w:val="32"/>
          <w:highlight w:val="none"/>
          <w:lang w:val="en-US" w:eastAsia="zh-CN"/>
        </w:rPr>
        <w:t>落实</w:t>
      </w:r>
      <w:r>
        <w:rPr>
          <w:rFonts w:hint="eastAsia" w:ascii="仿宋_GB2312" w:hAnsi="仿宋_GB2312" w:eastAsia="仿宋_GB2312" w:cs="仿宋_GB2312"/>
          <w:color w:val="auto"/>
          <w:sz w:val="32"/>
          <w:szCs w:val="32"/>
          <w:highlight w:val="none"/>
        </w:rPr>
        <w:t>党的二十大精神，</w:t>
      </w:r>
      <w:r>
        <w:rPr>
          <w:rFonts w:hint="eastAsia" w:ascii="仿宋_GB2312" w:hAnsi="仿宋_GB2312" w:eastAsia="仿宋_GB2312" w:cs="仿宋_GB2312"/>
          <w:color w:val="auto"/>
          <w:sz w:val="32"/>
          <w:szCs w:val="32"/>
          <w:highlight w:val="none"/>
          <w:lang w:val="en-US" w:eastAsia="zh-CN"/>
        </w:rPr>
        <w:t>深入</w:t>
      </w:r>
      <w:r>
        <w:rPr>
          <w:rFonts w:hint="eastAsia" w:ascii="仿宋_GB2312" w:hAnsi="仿宋_GB2312" w:eastAsia="仿宋_GB2312" w:cs="仿宋_GB2312"/>
          <w:color w:val="auto"/>
          <w:sz w:val="32"/>
          <w:szCs w:val="32"/>
          <w:highlight w:val="none"/>
        </w:rPr>
        <w:t>落实省、市、新区党建工作会议精神，对标</w:t>
      </w:r>
      <w:r>
        <w:rPr>
          <w:rFonts w:hint="eastAsia" w:ascii="仿宋_GB2312" w:hAnsi="仿宋_GB2312" w:eastAsia="仿宋_GB2312" w:cs="仿宋_GB2312"/>
          <w:color w:val="auto"/>
          <w:sz w:val="32"/>
          <w:szCs w:val="32"/>
          <w:highlight w:val="none"/>
          <w:lang w:val="en-US" w:eastAsia="zh-CN"/>
        </w:rPr>
        <w:t>上级部门</w:t>
      </w:r>
      <w:r>
        <w:rPr>
          <w:rFonts w:hint="eastAsia" w:ascii="仿宋_GB2312" w:hAnsi="仿宋_GB2312" w:eastAsia="仿宋_GB2312" w:cs="仿宋_GB2312"/>
          <w:color w:val="auto"/>
          <w:sz w:val="32"/>
          <w:szCs w:val="32"/>
          <w:highlight w:val="none"/>
        </w:rPr>
        <w:t>关于加强非公有制经济组织和社会组织（以下简称两新组织）党的建设部署要求，把党的工作融入两新组织运行和发展过程，实现“党建强、发展强”目标，结合我街实际，现就进一步做好两新组织党建工作提出以下意见。</w:t>
      </w:r>
    </w:p>
    <w:p>
      <w:pPr>
        <w:keepNext w:val="0"/>
        <w:keepLines w:val="0"/>
        <w:pageBreakBefore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一、</w:t>
      </w:r>
      <w:r>
        <w:rPr>
          <w:rFonts w:hint="eastAsia" w:ascii="黑体" w:hAnsi="黑体" w:eastAsia="黑体" w:cs="黑体"/>
          <w:color w:val="auto"/>
          <w:sz w:val="32"/>
          <w:szCs w:val="32"/>
          <w:highlight w:val="none"/>
        </w:rPr>
        <w:t>指导思想</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坚持以习近平新时代中国特色社会主义思想为指引，深入贯彻习近平总书记</w:t>
      </w:r>
      <w:r>
        <w:rPr>
          <w:rFonts w:hint="eastAsia" w:ascii="仿宋_GB2312" w:hAnsi="仿宋_GB2312" w:eastAsia="仿宋_GB2312" w:cs="仿宋_GB2312"/>
          <w:color w:val="auto"/>
          <w:sz w:val="32"/>
          <w:szCs w:val="32"/>
          <w:highlight w:val="none"/>
        </w:rPr>
        <w:t>考察湖南重要讲话精神，</w:t>
      </w:r>
      <w:r>
        <w:rPr>
          <w:rFonts w:hint="eastAsia" w:ascii="仿宋_GB2312" w:hAnsi="仿宋_GB2312" w:eastAsia="仿宋_GB2312" w:cs="仿宋_GB2312"/>
          <w:color w:val="auto"/>
          <w:sz w:val="32"/>
          <w:szCs w:val="32"/>
          <w:highlight w:val="none"/>
          <w:lang w:val="en-US" w:eastAsia="zh-CN"/>
        </w:rPr>
        <w:t>全面落实新时代党的建设总要求，</w:t>
      </w:r>
      <w:r>
        <w:rPr>
          <w:rFonts w:hint="eastAsia" w:ascii="仿宋_GB2312" w:hAnsi="仿宋_GB2312" w:eastAsia="仿宋_GB2312" w:cs="仿宋_GB2312"/>
          <w:color w:val="auto"/>
          <w:sz w:val="32"/>
          <w:szCs w:val="32"/>
          <w:highlight w:val="none"/>
        </w:rPr>
        <w:t>坚持党建引领、问题导向、系统实施，务实推进等原则，以“党建聚合力”工程为统揽，</w:t>
      </w:r>
      <w:r>
        <w:rPr>
          <w:rFonts w:hint="eastAsia" w:ascii="仿宋_GB2312" w:hAnsi="仿宋_GB2312" w:eastAsia="仿宋_GB2312" w:cs="仿宋_GB2312"/>
          <w:color w:val="auto"/>
          <w:sz w:val="32"/>
          <w:szCs w:val="32"/>
          <w:highlight w:val="none"/>
          <w:lang w:eastAsia="zh-CN"/>
        </w:rPr>
        <w:t>以服务企业发展为根本，以</w:t>
      </w:r>
      <w:r>
        <w:rPr>
          <w:rFonts w:hint="eastAsia" w:ascii="仿宋_GB2312" w:hAnsi="仿宋_GB2312" w:eastAsia="仿宋_GB2312" w:cs="仿宋_GB2312"/>
          <w:color w:val="auto"/>
          <w:sz w:val="32"/>
          <w:szCs w:val="32"/>
          <w:highlight w:val="none"/>
        </w:rPr>
        <w:t>“跟党一起创新创业”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主题，</w:t>
      </w:r>
      <w:r>
        <w:rPr>
          <w:rFonts w:hint="eastAsia" w:ascii="仿宋_GB2312" w:hAnsi="仿宋_GB2312" w:eastAsia="仿宋_GB2312" w:cs="仿宋_GB2312"/>
          <w:color w:val="auto"/>
          <w:sz w:val="32"/>
          <w:szCs w:val="32"/>
          <w:highlight w:val="none"/>
          <w:lang w:eastAsia="zh-CN"/>
        </w:rPr>
        <w:t>构建“二三四五</w:t>
      </w:r>
      <w:r>
        <w:rPr>
          <w:rFonts w:hint="eastAsia" w:ascii="仿宋_GB2312" w:hAnsi="仿宋_GB2312" w:eastAsia="仿宋_GB2312" w:cs="仿宋_GB2312"/>
          <w:color w:val="auto"/>
          <w:sz w:val="32"/>
          <w:szCs w:val="32"/>
          <w:highlight w:val="none"/>
          <w:lang w:val="en-US" w:eastAsia="zh-CN"/>
        </w:rPr>
        <w:t>”工作体系，通过“两级平台、三项工程、四金服务、五大保障”奋力</w:t>
      </w:r>
      <w:r>
        <w:rPr>
          <w:rFonts w:hint="eastAsia" w:ascii="仿宋_GB2312" w:hAnsi="仿宋_GB2312" w:eastAsia="仿宋_GB2312" w:cs="仿宋_GB2312"/>
          <w:color w:val="auto"/>
          <w:sz w:val="32"/>
          <w:szCs w:val="32"/>
          <w:highlight w:val="none"/>
        </w:rPr>
        <w:t>打造东方红街道“</w:t>
      </w:r>
      <w:r>
        <w:rPr>
          <w:rFonts w:hint="eastAsia" w:ascii="仿宋_GB2312" w:hAnsi="仿宋_GB2312" w:eastAsia="仿宋_GB2312" w:cs="仿宋_GB2312"/>
          <w:color w:val="auto"/>
          <w:sz w:val="32"/>
          <w:szCs w:val="32"/>
          <w:highlight w:val="none"/>
          <w:lang w:val="en-US" w:eastAsia="zh-CN"/>
        </w:rPr>
        <w:t>红色‘联’动力</w:t>
      </w:r>
      <w:r>
        <w:rPr>
          <w:rFonts w:hint="eastAsia" w:ascii="仿宋_GB2312" w:hAnsi="仿宋_GB2312" w:eastAsia="仿宋_GB2312" w:cs="仿宋_GB2312"/>
          <w:color w:val="auto"/>
          <w:sz w:val="32"/>
          <w:szCs w:val="32"/>
          <w:highlight w:val="none"/>
        </w:rPr>
        <w:t>”两新党建品牌，不断丰富与拓展两新组织党建工作内涵与外延，</w:t>
      </w:r>
      <w:r>
        <w:rPr>
          <w:rFonts w:hint="eastAsia" w:ascii="仿宋_GB2312" w:hAnsi="仿宋_GB2312" w:eastAsia="仿宋_GB2312" w:cs="仿宋_GB2312"/>
          <w:color w:val="auto"/>
          <w:sz w:val="32"/>
          <w:szCs w:val="32"/>
          <w:highlight w:val="none"/>
          <w:lang w:val="en-US" w:eastAsia="zh-CN"/>
        </w:rPr>
        <w:t>为践行“三高四新”战略定位和使命任务、实施“强省会”战略</w:t>
      </w:r>
      <w:r>
        <w:rPr>
          <w:rFonts w:hint="eastAsia" w:ascii="仿宋_GB2312" w:hAnsi="仿宋_GB2312" w:eastAsia="仿宋_GB2312" w:cs="仿宋_GB2312"/>
          <w:color w:val="auto"/>
          <w:sz w:val="32"/>
          <w:szCs w:val="32"/>
          <w:highlight w:val="none"/>
        </w:rPr>
        <w:t>贡献东方红的智慧和力量。</w:t>
      </w:r>
    </w:p>
    <w:p>
      <w:pPr>
        <w:keepNext w:val="0"/>
        <w:keepLines w:val="0"/>
        <w:pageBreakBefore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工作举措</w:t>
      </w:r>
    </w:p>
    <w:p>
      <w:pPr>
        <w:keepNext w:val="0"/>
        <w:keepLines w:val="0"/>
        <w:pageBreakBefore w:val="0"/>
        <w:kinsoku/>
        <w:wordWrap/>
        <w:overflowPunct/>
        <w:topLinePunct w:val="0"/>
        <w:autoSpaceDE/>
        <w:autoSpaceDN/>
        <w:bidi w:val="0"/>
        <w:adjustRightInd/>
        <w:snapToGrid/>
        <w:spacing w:line="560" w:lineRule="exact"/>
        <w:ind w:left="0" w:firstLine="643" w:firstLineChars="200"/>
        <w:jc w:val="both"/>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b/>
          <w:bCs/>
          <w:color w:val="auto"/>
          <w:sz w:val="32"/>
          <w:szCs w:val="32"/>
          <w:highlight w:val="none"/>
        </w:rPr>
        <w:t>（一）打造两级工作平台，筑牢“两新”党建红色根基</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坚持党的领导是推动两新党建成势见效的根本保证。以东方红街道党工委为中心，探索建立街道两新综合党委统筹协调、两新党组织联组与社区（村）党组织高效能联动的两级工作平台。</w:t>
      </w:r>
      <w:r>
        <w:rPr>
          <w:rFonts w:hint="eastAsia" w:ascii="仿宋_GB2312" w:hAnsi="仿宋_GB2312" w:eastAsia="仿宋_GB2312" w:cs="仿宋_GB2312"/>
          <w:b/>
          <w:bCs/>
          <w:color w:val="auto"/>
          <w:sz w:val="32"/>
          <w:szCs w:val="32"/>
          <w:highlight w:val="none"/>
        </w:rPr>
        <w:t>一是“定人+定责”做实机构。</w:t>
      </w:r>
      <w:r>
        <w:rPr>
          <w:rFonts w:hint="eastAsia" w:ascii="仿宋_GB2312" w:hAnsi="仿宋_GB2312" w:eastAsia="仿宋_GB2312" w:cs="仿宋_GB2312"/>
          <w:color w:val="auto"/>
          <w:sz w:val="32"/>
          <w:szCs w:val="32"/>
          <w:highlight w:val="none"/>
        </w:rPr>
        <w:t>以聚焦责任主体、健全工作体系为目标，及时调整充实街道两新综合党委组成人员，逐步理顺工作运行机制；择优聘请党性观念强、热爱党务工作、善做群众工作的两新党组织负责人为联组长和副组长，有效推动联组内力量聚合聚强；强化驻街部门、社区（村）党组织工作职责，充分发挥其组织延伸、服务聚拢的战斗堡垒作用。</w:t>
      </w:r>
      <w:r>
        <w:rPr>
          <w:rFonts w:hint="eastAsia" w:ascii="仿宋_GB2312" w:hAnsi="仿宋_GB2312" w:eastAsia="仿宋_GB2312" w:cs="仿宋_GB2312"/>
          <w:b/>
          <w:bCs/>
          <w:color w:val="auto"/>
          <w:sz w:val="32"/>
          <w:szCs w:val="32"/>
          <w:highlight w:val="none"/>
        </w:rPr>
        <w:t>二是“指导+服务”提升质效。</w:t>
      </w:r>
      <w:r>
        <w:rPr>
          <w:rFonts w:hint="eastAsia" w:ascii="仿宋_GB2312" w:hAnsi="仿宋_GB2312" w:eastAsia="仿宋_GB2312" w:cs="仿宋_GB2312"/>
          <w:color w:val="auto"/>
          <w:sz w:val="32"/>
          <w:szCs w:val="32"/>
          <w:highlight w:val="none"/>
        </w:rPr>
        <w:t>始终将推进两新组织“两个覆盖”作为基础性工作抓常抓长，坚持常态化摸排、动态化组建、规范化提升工作机制，</w:t>
      </w:r>
      <w:r>
        <w:rPr>
          <w:rFonts w:hint="eastAsia" w:ascii="仿宋_GB2312" w:hAnsi="仿宋_GB2312" w:eastAsia="仿宋_GB2312" w:cs="仿宋_GB2312"/>
          <w:color w:val="auto"/>
          <w:sz w:val="32"/>
          <w:szCs w:val="32"/>
          <w:highlight w:val="none"/>
          <w:lang w:val="en-US" w:eastAsia="zh-CN"/>
        </w:rPr>
        <w:t>做到</w:t>
      </w:r>
      <w:r>
        <w:rPr>
          <w:rFonts w:hint="eastAsia" w:ascii="仿宋_GB2312" w:hAnsi="仿宋_GB2312" w:eastAsia="仿宋_GB2312" w:cs="仿宋_GB2312"/>
          <w:color w:val="auto"/>
          <w:sz w:val="32"/>
          <w:szCs w:val="32"/>
          <w:highlight w:val="none"/>
        </w:rPr>
        <w:t>应建尽建原则，大力推进党的组织和党的工作全覆盖；同时围绕促进两新组织快速发展，进一步落实助力两新组织发展的务实举措，推动党建工作和两新组织发展同频共振、互促共进。</w:t>
      </w:r>
    </w:p>
    <w:p>
      <w:pPr>
        <w:keepNext w:val="0"/>
        <w:keepLines w:val="0"/>
        <w:pageBreakBefore w:val="0"/>
        <w:kinsoku/>
        <w:wordWrap/>
        <w:overflowPunct/>
        <w:topLinePunct w:val="0"/>
        <w:autoSpaceDE/>
        <w:autoSpaceDN/>
        <w:bidi w:val="0"/>
        <w:adjustRightInd/>
        <w:snapToGrid/>
        <w:spacing w:line="560" w:lineRule="exact"/>
        <w:ind w:left="0" w:firstLine="643" w:firstLineChars="200"/>
        <w:jc w:val="both"/>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（二）实施三大特色工程，激活“两新”党建红色引擎</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突出问题导向是推动两新党建成势见效的有效路径。针对两新组织党建工作力量薄弱、基础不牢、作用发挥不够等问题，必须不断</w:t>
      </w:r>
      <w:r>
        <w:rPr>
          <w:rFonts w:hint="eastAsia" w:ascii="仿宋_GB2312" w:hAnsi="仿宋_GB2312" w:eastAsia="仿宋_GB2312" w:cs="仿宋_GB2312"/>
          <w:color w:val="auto"/>
          <w:sz w:val="32"/>
          <w:szCs w:val="32"/>
          <w:highlight w:val="none"/>
          <w:lang w:eastAsia="zh-CN"/>
        </w:rPr>
        <w:t>提高党的组织和工作覆盖质量</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增强两新</w:t>
      </w:r>
      <w:r>
        <w:rPr>
          <w:rFonts w:hint="eastAsia" w:ascii="仿宋_GB2312" w:hAnsi="仿宋_GB2312" w:eastAsia="仿宋_GB2312" w:cs="仿宋_GB2312"/>
          <w:color w:val="auto"/>
          <w:sz w:val="32"/>
          <w:szCs w:val="32"/>
          <w:highlight w:val="none"/>
        </w:rPr>
        <w:t>党组织</w:t>
      </w:r>
      <w:r>
        <w:rPr>
          <w:rFonts w:hint="eastAsia" w:ascii="仿宋_GB2312" w:hAnsi="仿宋_GB2312" w:eastAsia="仿宋_GB2312" w:cs="仿宋_GB2312"/>
          <w:color w:val="auto"/>
          <w:sz w:val="32"/>
          <w:szCs w:val="32"/>
          <w:highlight w:val="none"/>
          <w:lang w:eastAsia="zh-CN"/>
        </w:rPr>
        <w:t>政治功能和组织功能，推动党员立足岗位多作贡献。</w:t>
      </w:r>
      <w:r>
        <w:rPr>
          <w:rFonts w:hint="eastAsia" w:ascii="仿宋_GB2312" w:hAnsi="仿宋_GB2312" w:eastAsia="仿宋_GB2312" w:cs="仿宋_GB2312"/>
          <w:b/>
          <w:bCs/>
          <w:color w:val="auto"/>
          <w:sz w:val="32"/>
          <w:szCs w:val="32"/>
          <w:highlight w:val="none"/>
        </w:rPr>
        <w:t>一是实施“强基工程”。</w:t>
      </w:r>
      <w:r>
        <w:rPr>
          <w:rFonts w:hint="eastAsia" w:ascii="仿宋_GB2312" w:hAnsi="仿宋_GB2312" w:eastAsia="仿宋_GB2312" w:cs="仿宋_GB2312"/>
          <w:color w:val="auto"/>
          <w:sz w:val="32"/>
          <w:szCs w:val="32"/>
          <w:highlight w:val="none"/>
        </w:rPr>
        <w:t>着力优化党员队伍结构，鼓励两新组织优先聘用党员人才，注重吸纳高知分子、优秀青年职工等群体进入党员群体，开展“双向培养”“双向进入”，把党员培养成业务骨干，把业务骨干培养成党员，在两新组织内部形成入党光荣、梯次带动效应。实行两新党组织考评述职机制，督导其认真做到党组织基本数据动态掌握、基本工具熟练使用、基本制度贯彻落实、基本业务结合开展，不断提升党建工作水平。</w:t>
      </w:r>
      <w:r>
        <w:rPr>
          <w:rFonts w:hint="eastAsia" w:ascii="仿宋_GB2312" w:hAnsi="仿宋_GB2312" w:eastAsia="仿宋_GB2312" w:cs="仿宋_GB2312"/>
          <w:b/>
          <w:bCs/>
          <w:color w:val="auto"/>
          <w:sz w:val="32"/>
          <w:szCs w:val="32"/>
          <w:highlight w:val="none"/>
        </w:rPr>
        <w:t>二是实施“活水工程”。</w:t>
      </w:r>
      <w:r>
        <w:rPr>
          <w:rFonts w:hint="eastAsia" w:ascii="仿宋_GB2312" w:hAnsi="仿宋_GB2312" w:eastAsia="仿宋_GB2312" w:cs="仿宋_GB2312"/>
          <w:color w:val="auto"/>
          <w:sz w:val="32"/>
          <w:szCs w:val="32"/>
          <w:highlight w:val="none"/>
        </w:rPr>
        <w:t>以社区（村）党组织为纽带，聚合辖区内政务、教育、医疗、金融、人才等资源力量，与两新党组织联组开展互联共建，扩大党建“红色朋友圈”，不断深化“区域化大党建”工作格局。同时推动统战、工会、共青团、妇联等群团组织及驻街单位的力量注入两新组织，进一步搭建交流沟通服务的共享平台，实现资源全方位联动、困难聚合力解决。</w:t>
      </w:r>
      <w:r>
        <w:rPr>
          <w:rFonts w:hint="eastAsia" w:ascii="仿宋_GB2312" w:hAnsi="仿宋_GB2312" w:eastAsia="仿宋_GB2312" w:cs="仿宋_GB2312"/>
          <w:b/>
          <w:bCs/>
          <w:color w:val="auto"/>
          <w:sz w:val="32"/>
          <w:szCs w:val="32"/>
          <w:highlight w:val="none"/>
        </w:rPr>
        <w:t>三是实施“量化工程”。</w:t>
      </w:r>
      <w:r>
        <w:rPr>
          <w:rFonts w:hint="eastAsia" w:ascii="仿宋_GB2312" w:hAnsi="仿宋_GB2312" w:eastAsia="仿宋_GB2312" w:cs="仿宋_GB2312"/>
          <w:color w:val="auto"/>
          <w:sz w:val="32"/>
          <w:szCs w:val="32"/>
          <w:highlight w:val="none"/>
        </w:rPr>
        <w:t>通过开展日常党务督导检查、党组织书记述职评议、联组工作考核评优等方式，对两新组织党建工作进行绩效量化，并将考核结果与工作经费</w:t>
      </w:r>
      <w:r>
        <w:rPr>
          <w:rFonts w:hint="eastAsia" w:ascii="仿宋_GB2312" w:hAnsi="仿宋_GB2312" w:eastAsia="仿宋_GB2312" w:cs="仿宋_GB2312"/>
          <w:color w:val="auto"/>
          <w:sz w:val="32"/>
          <w:szCs w:val="32"/>
          <w:highlight w:val="none"/>
          <w:lang w:val="en-US" w:eastAsia="zh-CN"/>
        </w:rPr>
        <w:t>奖补</w:t>
      </w:r>
      <w:r>
        <w:rPr>
          <w:rFonts w:hint="eastAsia" w:ascii="仿宋_GB2312" w:hAnsi="仿宋_GB2312" w:eastAsia="仿宋_GB2312" w:cs="仿宋_GB2312"/>
          <w:color w:val="auto"/>
          <w:sz w:val="32"/>
          <w:szCs w:val="32"/>
          <w:highlight w:val="none"/>
        </w:rPr>
        <w:t>直接挂钩，引导两新党组织、两新党组织联组始终保持想为、敢为、勤为、善为的状态。同时，在上级部门的指导下，通过选树一批标准化规范化基层党组织，评选挂牌一批“阵地建设一流、规范管理一流、作用发挥一流”的示范性党群活动阵地，争创一批先进基层党组织、两新党建示范点，发挥示范引领作用，提升全街两新党组织整体社会影响力。</w:t>
      </w:r>
    </w:p>
    <w:p>
      <w:pPr>
        <w:keepNext w:val="0"/>
        <w:keepLines w:val="0"/>
        <w:pageBreakBefore w:val="0"/>
        <w:kinsoku/>
        <w:wordWrap/>
        <w:overflowPunct/>
        <w:topLinePunct w:val="0"/>
        <w:autoSpaceDE/>
        <w:autoSpaceDN/>
        <w:bidi w:val="0"/>
        <w:adjustRightInd/>
        <w:snapToGrid/>
        <w:spacing w:line="560" w:lineRule="exact"/>
        <w:ind w:left="0" w:firstLine="643" w:firstLineChars="200"/>
        <w:jc w:val="both"/>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（三）提供四金专业服务，助推“两新”党建红色发展</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注重务实创新是推动两新党建成势见效的内生动力。两新党建工作要有生命力，就要与两新组织发展同呼吸、共命运。</w:t>
      </w:r>
      <w:r>
        <w:rPr>
          <w:rFonts w:hint="eastAsia" w:ascii="仿宋_GB2312" w:hAnsi="仿宋_GB2312" w:eastAsia="仿宋_GB2312" w:cs="仿宋_GB2312"/>
          <w:b/>
          <w:bCs/>
          <w:color w:val="auto"/>
          <w:sz w:val="32"/>
          <w:szCs w:val="32"/>
          <w:highlight w:val="none"/>
        </w:rPr>
        <w:t>一是着力打造“金品牌”队伍。</w:t>
      </w:r>
      <w:r>
        <w:rPr>
          <w:rFonts w:hint="eastAsia" w:ascii="仿宋_GB2312" w:hAnsi="仿宋_GB2312" w:eastAsia="仿宋_GB2312" w:cs="仿宋_GB2312"/>
          <w:color w:val="auto"/>
          <w:sz w:val="32"/>
          <w:szCs w:val="32"/>
          <w:highlight w:val="none"/>
        </w:rPr>
        <w:t>以党员为骨干组建</w:t>
      </w:r>
      <w:r>
        <w:rPr>
          <w:rFonts w:hint="eastAsia" w:ascii="仿宋_GB2312" w:hAnsi="仿宋_GB2312" w:eastAsia="仿宋_GB2312" w:cs="仿宋_GB2312"/>
          <w:color w:val="auto"/>
          <w:sz w:val="32"/>
          <w:szCs w:val="32"/>
          <w:highlight w:val="none"/>
          <w:lang w:val="en-US" w:eastAsia="zh-CN"/>
        </w:rPr>
        <w:t>两新党</w:t>
      </w:r>
      <w:r>
        <w:rPr>
          <w:rFonts w:hint="eastAsia" w:ascii="仿宋_GB2312" w:hAnsi="仿宋_GB2312" w:eastAsia="仿宋_GB2312" w:cs="仿宋_GB2312"/>
          <w:color w:val="auto"/>
          <w:sz w:val="32"/>
          <w:szCs w:val="32"/>
          <w:highlight w:val="none"/>
        </w:rPr>
        <w:t>组织联组“服务管家”队伍，为两新组织提供党建指导、科创</w:t>
      </w:r>
      <w:r>
        <w:rPr>
          <w:rFonts w:hint="eastAsia" w:ascii="仿宋_GB2312" w:hAnsi="仿宋_GB2312" w:eastAsia="仿宋_GB2312" w:cs="仿宋_GB2312"/>
          <w:color w:val="auto"/>
          <w:sz w:val="32"/>
          <w:szCs w:val="32"/>
          <w:highlight w:val="none"/>
          <w:lang w:val="en-US" w:eastAsia="zh-CN"/>
        </w:rPr>
        <w:t>信息</w:t>
      </w:r>
      <w:r>
        <w:rPr>
          <w:rFonts w:hint="eastAsia" w:ascii="仿宋_GB2312" w:hAnsi="仿宋_GB2312" w:eastAsia="仿宋_GB2312" w:cs="仿宋_GB2312"/>
          <w:color w:val="auto"/>
          <w:sz w:val="32"/>
          <w:szCs w:val="32"/>
          <w:highlight w:val="none"/>
        </w:rPr>
        <w:t>、政策咨询、配套完善、资源对接等多项服务。一方面面向社会公开招聘一批专职党务工作者，另一方面从社区（村）选派一批党建指导员，同时在街道政务服务中心明确一批对口联企专员，通过精心选派、精准对接、精细服务，全面提升工作质效。</w:t>
      </w:r>
      <w:r>
        <w:rPr>
          <w:rFonts w:hint="eastAsia" w:ascii="仿宋_GB2312" w:hAnsi="仿宋_GB2312" w:eastAsia="仿宋_GB2312" w:cs="仿宋_GB2312"/>
          <w:b/>
          <w:bCs/>
          <w:color w:val="auto"/>
          <w:sz w:val="32"/>
          <w:szCs w:val="32"/>
          <w:highlight w:val="none"/>
        </w:rPr>
        <w:t>二是着力搭建“金渠道”平台。</w:t>
      </w:r>
      <w:r>
        <w:rPr>
          <w:rFonts w:hint="eastAsia" w:ascii="仿宋_GB2312" w:hAnsi="仿宋_GB2312" w:eastAsia="仿宋_GB2312" w:cs="仿宋_GB2312"/>
          <w:color w:val="auto"/>
          <w:sz w:val="32"/>
          <w:szCs w:val="32"/>
          <w:highlight w:val="none"/>
          <w:lang w:val="en-US" w:eastAsia="zh-CN"/>
        </w:rPr>
        <w:t>秉承</w:t>
      </w:r>
      <w:r>
        <w:rPr>
          <w:rFonts w:hint="eastAsia" w:ascii="仿宋_GB2312" w:hAnsi="仿宋_GB2312" w:eastAsia="仿宋_GB2312" w:cs="仿宋_GB2312"/>
          <w:color w:val="auto"/>
          <w:sz w:val="32"/>
          <w:szCs w:val="32"/>
          <w:highlight w:val="none"/>
        </w:rPr>
        <w:t>“主动下沉、深度融合”的服务理念，一方面通过政企联席会、专题调度会、交流观摩会、“政企早餐会”等“零距离服务”平台畅通沟通渠道，另一方面制定政企“双向认领”的“三张清单”：两新组织的“需求清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整合政府部门、两新组织、社会机构等优质资源的“资源清单”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满足需求、解决问题的“任务清单”，通过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服务管家”</w:t>
      </w:r>
      <w:r>
        <w:rPr>
          <w:rFonts w:hint="eastAsia" w:ascii="仿宋_GB2312" w:hAnsi="仿宋_GB2312" w:eastAsia="仿宋_GB2312" w:cs="仿宋_GB2312"/>
          <w:color w:val="auto"/>
          <w:sz w:val="32"/>
          <w:szCs w:val="32"/>
          <w:highlight w:val="none"/>
        </w:rPr>
        <w:t>常态化深入两新组织，当好“政策宣讲员”“政企联络员”“困难协调员”“企业服务员”等角色，以项目化的运作方式，服务两新组织，实现需求有效对接、问题有效解决、资源有效统筹、项目有效落地，营造一流营商环境。</w:t>
      </w:r>
      <w:r>
        <w:rPr>
          <w:rFonts w:hint="eastAsia" w:ascii="仿宋_GB2312" w:hAnsi="仿宋_GB2312" w:eastAsia="仿宋_GB2312" w:cs="仿宋_GB2312"/>
          <w:b/>
          <w:bCs/>
          <w:color w:val="auto"/>
          <w:sz w:val="32"/>
          <w:szCs w:val="32"/>
          <w:highlight w:val="none"/>
        </w:rPr>
        <w:t>三是着力开展“金口碑”行动。</w:t>
      </w:r>
      <w:r>
        <w:rPr>
          <w:rFonts w:hint="eastAsia" w:ascii="仿宋_GB2312" w:hAnsi="仿宋_GB2312" w:eastAsia="仿宋_GB2312" w:cs="仿宋_GB2312"/>
          <w:color w:val="auto"/>
          <w:sz w:val="32"/>
          <w:szCs w:val="32"/>
          <w:highlight w:val="none"/>
        </w:rPr>
        <w:t>抓实两新组织服务落脚点，针对其关注的惠企政策、企业孵化、节本增收、人才培育、通勤出行、宣传推介等需求，持续开展“我为企业解个难”“我为企业办实事”“我为发展支个招”等专项行动，在街道、社区（村）设立工作服务站，前移端口，集成式接单，根据问题难易程度，做到现场办公快速解决一批、整合资源协同解决一批、对上协调争取解决一批。</w:t>
      </w:r>
      <w:r>
        <w:rPr>
          <w:rFonts w:hint="eastAsia" w:ascii="仿宋_GB2312" w:hAnsi="仿宋_GB2312" w:eastAsia="仿宋_GB2312" w:cs="仿宋_GB2312"/>
          <w:b/>
          <w:bCs/>
          <w:color w:val="auto"/>
          <w:sz w:val="32"/>
          <w:szCs w:val="32"/>
          <w:highlight w:val="none"/>
        </w:rPr>
        <w:t>四是着力策划“金品质”活动。</w:t>
      </w:r>
      <w:r>
        <w:rPr>
          <w:rFonts w:hint="eastAsia" w:ascii="仿宋_GB2312" w:hAnsi="仿宋_GB2312" w:eastAsia="仿宋_GB2312" w:cs="仿宋_GB2312"/>
          <w:color w:val="auto"/>
          <w:sz w:val="32"/>
          <w:szCs w:val="32"/>
          <w:highlight w:val="none"/>
        </w:rPr>
        <w:t>举办主题沙龙，</w:t>
      </w:r>
      <w:r>
        <w:rPr>
          <w:rFonts w:hint="eastAsia" w:ascii="仿宋_GB2312" w:hAnsi="仿宋_GB2312" w:eastAsia="仿宋_GB2312" w:cs="仿宋_GB2312"/>
          <w:color w:val="auto"/>
          <w:sz w:val="32"/>
          <w:szCs w:val="32"/>
          <w:highlight w:val="none"/>
          <w:lang w:val="en-US" w:eastAsia="zh-CN"/>
        </w:rPr>
        <w:t>利用东方红街道党校主平台、社区（村）、两新组织实践教学点，联合开设培训讲堂，</w:t>
      </w:r>
      <w:r>
        <w:rPr>
          <w:rFonts w:hint="eastAsia" w:ascii="仿宋_GB2312" w:hAnsi="仿宋_GB2312" w:eastAsia="仿宋_GB2312" w:cs="仿宋_GB2312"/>
          <w:color w:val="auto"/>
          <w:sz w:val="32"/>
          <w:szCs w:val="32"/>
          <w:highlight w:val="none"/>
        </w:rPr>
        <w:t>邀请党建专家、企业名家和文化大家，为企业高管、行业精英、党建骨干“传经送宝”；</w:t>
      </w:r>
      <w:r>
        <w:rPr>
          <w:rFonts w:hint="eastAsia" w:ascii="仿宋_GB2312" w:hAnsi="仿宋_GB2312" w:eastAsia="仿宋_GB2312" w:cs="仿宋_GB2312"/>
          <w:color w:val="auto"/>
          <w:sz w:val="32"/>
          <w:szCs w:val="32"/>
          <w:highlight w:val="none"/>
          <w:lang w:val="en-US" w:eastAsia="zh-CN"/>
        </w:rPr>
        <w:t>持续在社区（村）开展人才服务活动，围绕人才</w:t>
      </w:r>
      <w:r>
        <w:rPr>
          <w:rFonts w:hint="eastAsia" w:ascii="仿宋_GB2312" w:hAnsi="仿宋_GB2312" w:eastAsia="仿宋_GB2312" w:cs="仿宋_GB2312"/>
          <w:color w:val="auto"/>
          <w:sz w:val="32"/>
          <w:szCs w:val="32"/>
          <w:highlight w:val="none"/>
        </w:rPr>
        <w:t>就业、医疗、子女教育、住房等方面的</w:t>
      </w:r>
      <w:r>
        <w:rPr>
          <w:rFonts w:hint="eastAsia" w:ascii="仿宋_GB2312" w:hAnsi="仿宋_GB2312" w:eastAsia="仿宋_GB2312" w:cs="仿宋_GB2312"/>
          <w:color w:val="auto"/>
          <w:sz w:val="32"/>
          <w:szCs w:val="32"/>
          <w:highlight w:val="none"/>
          <w:lang w:val="en-US" w:eastAsia="zh-CN"/>
        </w:rPr>
        <w:t>实际需求</w:t>
      </w:r>
      <w:r>
        <w:rPr>
          <w:rFonts w:hint="eastAsia" w:ascii="仿宋_GB2312" w:hAnsi="仿宋_GB2312" w:eastAsia="仿宋_GB2312" w:cs="仿宋_GB2312"/>
          <w:color w:val="auto"/>
          <w:sz w:val="32"/>
          <w:szCs w:val="32"/>
          <w:highlight w:val="none"/>
          <w:lang w:eastAsia="zh-CN"/>
        </w:rPr>
        <w:t>，解决人才关心关注</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lang w:eastAsia="zh-CN"/>
        </w:rPr>
        <w:t>“小事”“难事”“急事”，</w:t>
      </w:r>
      <w:r>
        <w:rPr>
          <w:rFonts w:hint="eastAsia" w:ascii="仿宋_GB2312" w:hAnsi="仿宋_GB2312" w:eastAsia="仿宋_GB2312" w:cs="仿宋_GB2312"/>
          <w:color w:val="auto"/>
          <w:sz w:val="32"/>
          <w:szCs w:val="32"/>
          <w:highlight w:val="none"/>
          <w:lang w:val="en-US" w:eastAsia="zh-CN"/>
        </w:rPr>
        <w:t>营造辖区</w:t>
      </w:r>
      <w:r>
        <w:rPr>
          <w:rFonts w:hint="eastAsia" w:ascii="仿宋_GB2312" w:hAnsi="仿宋_GB2312" w:eastAsia="仿宋_GB2312" w:cs="仿宋_GB2312"/>
          <w:color w:val="auto"/>
          <w:sz w:val="32"/>
          <w:szCs w:val="32"/>
          <w:highlight w:val="none"/>
          <w:lang w:eastAsia="zh-CN"/>
        </w:rPr>
        <w:t>创新创业、成长成才</w:t>
      </w:r>
      <w:r>
        <w:rPr>
          <w:rFonts w:hint="eastAsia" w:ascii="仿宋_GB2312" w:hAnsi="仿宋_GB2312" w:eastAsia="仿宋_GB2312" w:cs="仿宋_GB2312"/>
          <w:color w:val="auto"/>
          <w:sz w:val="32"/>
          <w:szCs w:val="32"/>
          <w:highlight w:val="none"/>
          <w:lang w:val="en-US" w:eastAsia="zh-CN"/>
        </w:rPr>
        <w:t>人才环境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多措并举</w:t>
      </w:r>
      <w:r>
        <w:rPr>
          <w:rFonts w:hint="eastAsia" w:ascii="仿宋_GB2312" w:hAnsi="仿宋_GB2312" w:eastAsia="仿宋_GB2312" w:cs="仿宋_GB2312"/>
          <w:color w:val="auto"/>
          <w:sz w:val="32"/>
          <w:szCs w:val="32"/>
          <w:highlight w:val="none"/>
        </w:rPr>
        <w:t>实现</w:t>
      </w:r>
      <w:r>
        <w:rPr>
          <w:rFonts w:hint="eastAsia" w:ascii="仿宋_GB2312" w:hAnsi="仿宋_GB2312" w:eastAsia="仿宋_GB2312" w:cs="仿宋_GB2312"/>
          <w:color w:val="auto"/>
          <w:sz w:val="32"/>
          <w:szCs w:val="32"/>
          <w:highlight w:val="none"/>
          <w:lang w:val="en-US" w:eastAsia="zh-CN"/>
        </w:rPr>
        <w:t>人才引得进、留得住、用的好。</w:t>
      </w:r>
    </w:p>
    <w:p>
      <w:pPr>
        <w:keepNext w:val="0"/>
        <w:keepLines w:val="0"/>
        <w:pageBreakBefore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b/>
          <w:bCs/>
          <w:color w:val="auto"/>
          <w:sz w:val="32"/>
          <w:szCs w:val="32"/>
          <w:highlight w:val="none"/>
        </w:rPr>
      </w:pPr>
      <w:r>
        <w:rPr>
          <w:rFonts w:hint="eastAsia" w:ascii="楷体_GB2312" w:hAnsi="楷体_GB2312" w:eastAsia="楷体_GB2312" w:cs="楷体_GB2312"/>
          <w:b/>
          <w:bCs/>
          <w:color w:val="auto"/>
          <w:sz w:val="32"/>
          <w:szCs w:val="32"/>
          <w:highlight w:val="none"/>
        </w:rPr>
        <w:t>（四）落实五大基础保障，聚合“两新”党建红色领航</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强化组织保障是推动两新党建成势见效的重要支撑。通过落实机制、人才、经费、阵地、合作五大保障，逐步构建功能完善的两新党建保障体系。</w:t>
      </w:r>
      <w:r>
        <w:rPr>
          <w:rFonts w:hint="eastAsia" w:ascii="仿宋_GB2312" w:hAnsi="仿宋_GB2312" w:eastAsia="仿宋_GB2312" w:cs="仿宋_GB2312"/>
          <w:b/>
          <w:bCs/>
          <w:color w:val="auto"/>
          <w:sz w:val="32"/>
          <w:szCs w:val="32"/>
          <w:highlight w:val="none"/>
        </w:rPr>
        <w:t>一是</w:t>
      </w:r>
      <w:r>
        <w:rPr>
          <w:rFonts w:hint="eastAsia" w:ascii="仿宋_GB2312" w:hAnsi="仿宋_GB2312" w:eastAsia="仿宋_GB2312" w:cs="仿宋_GB2312"/>
          <w:b/>
          <w:bCs/>
          <w:color w:val="auto"/>
          <w:sz w:val="32"/>
          <w:szCs w:val="32"/>
          <w:highlight w:val="none"/>
          <w:lang w:val="en-US" w:eastAsia="zh-CN"/>
        </w:rPr>
        <w:t>机制运行方面，</w:t>
      </w:r>
      <w:r>
        <w:rPr>
          <w:rFonts w:hint="eastAsia" w:ascii="仿宋_GB2312" w:hAnsi="仿宋_GB2312" w:eastAsia="仿宋_GB2312" w:cs="仿宋_GB2312"/>
          <w:color w:val="auto"/>
          <w:sz w:val="32"/>
          <w:szCs w:val="32"/>
          <w:highlight w:val="none"/>
        </w:rPr>
        <w:t>实施联组工作机制，以区域相近、便于协调为原则，将辖区内</w:t>
      </w:r>
      <w:r>
        <w:rPr>
          <w:rFonts w:hint="eastAsia" w:ascii="仿宋_GB2312" w:hAnsi="仿宋_GB2312" w:eastAsia="仿宋_GB2312" w:cs="仿宋_GB2312"/>
          <w:color w:val="auto"/>
          <w:sz w:val="32"/>
          <w:szCs w:val="32"/>
          <w:highlight w:val="none"/>
          <w:lang w:val="en-US" w:eastAsia="zh-CN"/>
        </w:rPr>
        <w:t>191</w:t>
      </w:r>
      <w:r>
        <w:rPr>
          <w:rFonts w:hint="eastAsia" w:ascii="仿宋_GB2312" w:hAnsi="仿宋_GB2312" w:eastAsia="仿宋_GB2312" w:cs="仿宋_GB2312"/>
          <w:color w:val="auto"/>
          <w:sz w:val="32"/>
          <w:szCs w:val="32"/>
          <w:highlight w:val="none"/>
        </w:rPr>
        <w:t>家两新党组织编入3个联组，通过联合组建、定期督导、以会带训、述职</w:t>
      </w:r>
      <w:r>
        <w:rPr>
          <w:rFonts w:hint="eastAsia" w:ascii="仿宋_GB2312" w:hAnsi="仿宋_GB2312" w:eastAsia="仿宋_GB2312" w:cs="仿宋_GB2312"/>
          <w:color w:val="auto"/>
          <w:sz w:val="32"/>
          <w:szCs w:val="32"/>
          <w:highlight w:val="none"/>
          <w:lang w:val="en-US" w:eastAsia="zh-CN"/>
        </w:rPr>
        <w:t>评议</w:t>
      </w:r>
      <w:r>
        <w:rPr>
          <w:rFonts w:hint="eastAsia" w:ascii="仿宋_GB2312" w:hAnsi="仿宋_GB2312" w:eastAsia="仿宋_GB2312" w:cs="仿宋_GB2312"/>
          <w:color w:val="auto"/>
          <w:sz w:val="32"/>
          <w:szCs w:val="32"/>
          <w:highlight w:val="none"/>
        </w:rPr>
        <w:t>等方式，促进各联组均衡发展。</w:t>
      </w:r>
      <w:r>
        <w:rPr>
          <w:rFonts w:hint="eastAsia" w:ascii="仿宋_GB2312" w:hAnsi="仿宋_GB2312" w:eastAsia="仿宋_GB2312" w:cs="仿宋_GB2312"/>
          <w:b/>
          <w:bCs/>
          <w:color w:val="auto"/>
          <w:sz w:val="32"/>
          <w:szCs w:val="32"/>
          <w:highlight w:val="none"/>
        </w:rPr>
        <w:t>二是人才保障方面，</w:t>
      </w:r>
      <w:r>
        <w:rPr>
          <w:rFonts w:hint="eastAsia" w:ascii="仿宋_GB2312" w:hAnsi="仿宋_GB2312" w:eastAsia="仿宋_GB2312" w:cs="仿宋_GB2312"/>
          <w:color w:val="auto"/>
          <w:sz w:val="32"/>
          <w:szCs w:val="32"/>
          <w:highlight w:val="none"/>
        </w:rPr>
        <w:t>街道专职两新党建专干一对一地指导联组工作，要求联组会议活动必到、过程动态必报、企业困难必帮。同时，联组工作实行组长负责制，每个联组设组长1名、副组长2名，从企业党务、群团工作者中择优推选。</w:t>
      </w:r>
      <w:r>
        <w:rPr>
          <w:rFonts w:hint="eastAsia" w:ascii="仿宋_GB2312" w:hAnsi="仿宋_GB2312" w:eastAsia="仿宋_GB2312" w:cs="仿宋_GB2312"/>
          <w:b/>
          <w:bCs/>
          <w:color w:val="auto"/>
          <w:sz w:val="32"/>
          <w:szCs w:val="32"/>
          <w:highlight w:val="none"/>
        </w:rPr>
        <w:t>三是经费保障方面，</w:t>
      </w:r>
      <w:r>
        <w:rPr>
          <w:rFonts w:hint="eastAsia" w:ascii="仿宋_GB2312" w:hAnsi="仿宋_GB2312" w:eastAsia="仿宋_GB2312" w:cs="仿宋_GB2312"/>
          <w:color w:val="auto"/>
          <w:sz w:val="32"/>
          <w:szCs w:val="32"/>
          <w:highlight w:val="none"/>
        </w:rPr>
        <w:t>每年预算安排每个联组一定工作经费，年底给予优秀联组奖励工作经费，并给予正、副联组长工作补贴，同时对新建企业党组织给予启动经费、阵地建设补助经费、党组织书记岗位补贴等支持，并全额返还两新组织党费。</w:t>
      </w:r>
      <w:r>
        <w:rPr>
          <w:rFonts w:hint="eastAsia" w:ascii="仿宋_GB2312" w:hAnsi="仿宋_GB2312" w:eastAsia="仿宋_GB2312" w:cs="仿宋_GB2312"/>
          <w:b/>
          <w:bCs/>
          <w:color w:val="auto"/>
          <w:sz w:val="32"/>
          <w:szCs w:val="32"/>
          <w:highlight w:val="none"/>
        </w:rPr>
        <w:t>四是阵地保障方面，</w:t>
      </w:r>
      <w:r>
        <w:rPr>
          <w:rFonts w:hint="eastAsia" w:ascii="仿宋_GB2312" w:hAnsi="仿宋_GB2312" w:eastAsia="仿宋_GB2312" w:cs="仿宋_GB2312"/>
          <w:color w:val="auto"/>
          <w:sz w:val="32"/>
          <w:szCs w:val="32"/>
          <w:highlight w:val="none"/>
        </w:rPr>
        <w:t>对标两新组织党员活动阵地建设标准，积极主动支持两新组织完成一、二、三类阵地验收，争取市、区示范性阵地配套补助及奖励。</w:t>
      </w:r>
      <w:r>
        <w:rPr>
          <w:rFonts w:hint="eastAsia" w:ascii="仿宋_GB2312" w:hAnsi="仿宋_GB2312" w:eastAsia="仿宋_GB2312" w:cs="仿宋_GB2312"/>
          <w:b/>
          <w:bCs/>
          <w:color w:val="auto"/>
          <w:sz w:val="32"/>
          <w:szCs w:val="32"/>
          <w:highlight w:val="none"/>
        </w:rPr>
        <w:t>五是强化合作方面，</w:t>
      </w:r>
      <w:r>
        <w:rPr>
          <w:rFonts w:hint="eastAsia" w:ascii="仿宋_GB2312" w:hAnsi="仿宋_GB2312" w:eastAsia="仿宋_GB2312" w:cs="仿宋_GB2312"/>
          <w:color w:val="auto"/>
          <w:sz w:val="32"/>
          <w:szCs w:val="32"/>
          <w:highlight w:val="none"/>
        </w:rPr>
        <w:t>即强化企业间、联组间以及联组与机关、社区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村）</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驻街单位</w:t>
      </w:r>
      <w:r>
        <w:rPr>
          <w:rFonts w:hint="eastAsia" w:ascii="仿宋_GB2312" w:hAnsi="仿宋_GB2312" w:eastAsia="仿宋_GB2312" w:cs="仿宋_GB2312"/>
          <w:color w:val="auto"/>
          <w:sz w:val="32"/>
          <w:szCs w:val="32"/>
          <w:highlight w:val="none"/>
        </w:rPr>
        <w:t>合作，努力实现资源共享、人才共培、事业共创、发展共赢，进一步推动两新组织高质量发展。</w:t>
      </w:r>
    </w:p>
    <w:p>
      <w:pPr>
        <w:keepNext w:val="0"/>
        <w:keepLines w:val="0"/>
        <w:pageBreakBefore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三、工作推进步骤</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第一阶段，调查摸底，初步沟通。</w:t>
      </w:r>
      <w:r>
        <w:rPr>
          <w:rFonts w:hint="eastAsia" w:ascii="仿宋_GB2312" w:hAnsi="仿宋_GB2312" w:eastAsia="仿宋_GB2312" w:cs="仿宋_GB2312"/>
          <w:color w:val="auto"/>
          <w:kern w:val="2"/>
          <w:sz w:val="32"/>
          <w:szCs w:val="32"/>
          <w:highlight w:val="none"/>
        </w:rPr>
        <w:t>为实现党组织在两新组织领域的有效覆盖，</w:t>
      </w:r>
      <w:r>
        <w:rPr>
          <w:rFonts w:hint="eastAsia" w:ascii="仿宋_GB2312" w:hAnsi="仿宋_GB2312" w:eastAsia="仿宋_GB2312" w:cs="仿宋_GB2312"/>
          <w:color w:val="auto"/>
          <w:sz w:val="32"/>
          <w:szCs w:val="32"/>
          <w:highlight w:val="none"/>
        </w:rPr>
        <w:t>依托区企业名录库、党建管理平台，以电话、微信、上门走访等形式对辖区内两新组织的基本情况开展“拉网式”摸底排查，</w:t>
      </w:r>
      <w:r>
        <w:rPr>
          <w:rFonts w:hint="eastAsia" w:ascii="仿宋_GB2312" w:hAnsi="仿宋_GB2312" w:eastAsia="仿宋_GB2312" w:cs="仿宋_GB2312"/>
          <w:color w:val="auto"/>
          <w:kern w:val="2"/>
          <w:sz w:val="32"/>
          <w:szCs w:val="32"/>
          <w:highlight w:val="none"/>
        </w:rPr>
        <w:t>根据调查情况进行综合分类、梳理建档，形成工作台</w:t>
      </w:r>
      <w:r>
        <w:rPr>
          <w:rFonts w:hint="eastAsia" w:ascii="仿宋_GB2312" w:hAnsi="仿宋_GB2312" w:eastAsia="仿宋_GB2312" w:cs="仿宋_GB2312"/>
          <w:color w:val="auto"/>
          <w:kern w:val="2"/>
          <w:sz w:val="32"/>
          <w:szCs w:val="32"/>
          <w:highlight w:val="none"/>
          <w:lang w:val="en-US" w:eastAsia="zh-CN"/>
        </w:rPr>
        <w:t>账</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2"/>
          <w:sz w:val="32"/>
          <w:szCs w:val="32"/>
          <w:highlight w:val="none"/>
        </w:rPr>
        <w:t>为推动两新组织党建工作提供第一手的基础数据和真实有效的参考依据。</w:t>
      </w:r>
    </w:p>
    <w:p>
      <w:pPr>
        <w:keepNext w:val="0"/>
        <w:keepLines w:val="0"/>
        <w:pageBreakBefore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b/>
          <w:bCs/>
          <w:color w:val="auto"/>
          <w:sz w:val="32"/>
          <w:szCs w:val="32"/>
          <w:highlight w:val="none"/>
        </w:rPr>
        <w:t>第二阶段，会议动员，成立联组。</w:t>
      </w:r>
      <w:r>
        <w:rPr>
          <w:rFonts w:hint="eastAsia" w:ascii="仿宋_GB2312" w:hAnsi="仿宋_GB2312" w:eastAsia="仿宋_GB2312" w:cs="仿宋_GB2312"/>
          <w:color w:val="auto"/>
          <w:sz w:val="32"/>
          <w:szCs w:val="32"/>
          <w:highlight w:val="none"/>
        </w:rPr>
        <w:t>策划并举办两新党组织座谈会暨党建品牌启动仪式，发布《关于深化“党建聚合力”工程，打造“</w:t>
      </w:r>
      <w:r>
        <w:rPr>
          <w:rFonts w:hint="eastAsia" w:ascii="仿宋_GB2312" w:hAnsi="仿宋_GB2312" w:eastAsia="仿宋_GB2312" w:cs="仿宋_GB2312"/>
          <w:color w:val="auto"/>
          <w:sz w:val="32"/>
          <w:szCs w:val="32"/>
          <w:highlight w:val="none"/>
          <w:lang w:val="en-US" w:eastAsia="zh-CN"/>
        </w:rPr>
        <w:t>红色‘联’动力</w:t>
      </w:r>
      <w:r>
        <w:rPr>
          <w:rFonts w:hint="eastAsia" w:ascii="仿宋_GB2312" w:hAnsi="仿宋_GB2312" w:eastAsia="仿宋_GB2312" w:cs="仿宋_GB2312"/>
          <w:color w:val="auto"/>
          <w:sz w:val="32"/>
          <w:szCs w:val="32"/>
          <w:highlight w:val="none"/>
        </w:rPr>
        <w:t>”湘江青春党建品牌的实施意见》。通过动员部署，成立联组，颁发聘书，沙龙培训等多元工作方式，不断提升广大两新组织党员的归属感。</w:t>
      </w:r>
    </w:p>
    <w:p>
      <w:pPr>
        <w:keepNext w:val="0"/>
        <w:keepLines w:val="0"/>
        <w:pageBreakBefore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bidi="ar"/>
        </w:rPr>
        <w:t>第三阶段，持续</w:t>
      </w:r>
      <w:r>
        <w:rPr>
          <w:rFonts w:hint="eastAsia" w:ascii="仿宋_GB2312" w:hAnsi="仿宋_GB2312" w:eastAsia="仿宋_GB2312" w:cs="仿宋_GB2312"/>
          <w:b/>
          <w:bCs/>
          <w:color w:val="auto"/>
          <w:sz w:val="32"/>
          <w:szCs w:val="32"/>
          <w:highlight w:val="none"/>
        </w:rPr>
        <w:t>推进，长效聚合。</w:t>
      </w:r>
      <w:r>
        <w:rPr>
          <w:rFonts w:hint="eastAsia" w:ascii="仿宋_GB2312" w:hAnsi="仿宋_GB2312" w:eastAsia="仿宋_GB2312" w:cs="仿宋_GB2312"/>
          <w:color w:val="auto"/>
          <w:sz w:val="32"/>
          <w:szCs w:val="32"/>
          <w:highlight w:val="none"/>
        </w:rPr>
        <w:t>动员会后，由街道两新综合党委牵头组织各联组、社区（村）党组织定期会商，总结阶段参与工作的情况，研究下阶段工作方向，讨论决定有关事项，组织开展各类共建、创建活动。</w:t>
      </w:r>
    </w:p>
    <w:p>
      <w:pPr>
        <w:keepNext w:val="0"/>
        <w:keepLines w:val="0"/>
        <w:pageBreakBefore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第四阶段，总结提升，选树典型。</w:t>
      </w:r>
      <w:r>
        <w:rPr>
          <w:rFonts w:hint="eastAsia" w:ascii="仿宋_GB2312" w:hAnsi="仿宋_GB2312" w:eastAsia="仿宋_GB2312" w:cs="仿宋_GB2312"/>
          <w:color w:val="auto"/>
          <w:sz w:val="32"/>
          <w:szCs w:val="32"/>
          <w:highlight w:val="none"/>
        </w:rPr>
        <w:t>及时总结上报典型经验，不断推动区域内两新党建工作提档升级；积极推荐选送“优秀党员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优秀党务工作者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支持党建工作优秀企业家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，牵头组织参与市、区两新党建创新案例评选活动，激发创先争优的发展动力，营造比学赶超的浓厚氛围，形成党建工作推进的长效机制。</w:t>
      </w:r>
    </w:p>
    <w:p>
      <w:pPr>
        <w:keepNext w:val="0"/>
        <w:keepLines w:val="0"/>
        <w:pageBreakBefore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工作要求</w:t>
      </w:r>
    </w:p>
    <w:p>
      <w:pPr>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rPr>
        <w:t>（一）加强组织领导，统一思想认识。</w:t>
      </w:r>
      <w:r>
        <w:rPr>
          <w:rFonts w:hint="eastAsia" w:ascii="仿宋_GB2312" w:hAnsi="仿宋_GB2312" w:eastAsia="仿宋_GB2312" w:cs="仿宋_GB2312"/>
          <w:color w:val="auto"/>
          <w:sz w:val="32"/>
          <w:szCs w:val="32"/>
          <w:highlight w:val="none"/>
        </w:rPr>
        <w:t>街属各级党组织要充分认识实施两新党建工作的重要意义，切实履行好主体责任，将其作为党建工作的主抓手，科学制定工作规划，认真组织实施并抓好具体工作，确保各项任务落到实处。</w:t>
      </w:r>
    </w:p>
    <w:p>
      <w:pPr>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rPr>
        <w:t>（二）加强基础保障，提升工作实效。</w:t>
      </w:r>
      <w:r>
        <w:rPr>
          <w:rFonts w:hint="eastAsia" w:ascii="仿宋_GB2312" w:hAnsi="仿宋_GB2312" w:eastAsia="仿宋_GB2312" w:cs="仿宋_GB2312"/>
          <w:color w:val="auto"/>
          <w:sz w:val="32"/>
          <w:szCs w:val="32"/>
          <w:highlight w:val="none"/>
        </w:rPr>
        <w:t>健全经费保障机制，一方面全额拨付上级工作保障经费，另一方面设立专项奖励经费予以补充，为促进示范性品牌打造提供必要的物质保证。选优配强工作力量，确保两新党建的各项工作落实落细。</w:t>
      </w:r>
    </w:p>
    <w:p>
      <w:pPr>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rPr>
        <w:t>（三）加强宣传动员，营造活动氛围。</w:t>
      </w:r>
      <w:r>
        <w:rPr>
          <w:rFonts w:hint="eastAsia" w:ascii="仿宋_GB2312" w:hAnsi="仿宋_GB2312" w:eastAsia="仿宋_GB2312" w:cs="仿宋_GB2312"/>
          <w:color w:val="auto"/>
          <w:sz w:val="32"/>
          <w:szCs w:val="32"/>
          <w:highlight w:val="none"/>
        </w:rPr>
        <w:t>街道党工委、各街属党组织要及时总结、提炼工作中的好做法、好经验，努力打造有影响力的好品牌、好成果。通过利用主流媒体、门户网站、党建先锋网页、相关公众号进行宣传，充分调动区域内党组织、广大党员和社会各界力量共同参与、全力推进。大力宣传两新党建工作的特色做法和良好成效，营造两新组织党建工作的良好氛围。</w:t>
      </w:r>
    </w:p>
    <w:p>
      <w:pPr>
        <w:keepNext w:val="0"/>
        <w:keepLines w:val="0"/>
        <w:pageBreakBefore w:val="0"/>
        <w:widowControl/>
        <w:kinsoku/>
        <w:wordWrap/>
        <w:overflowPunct/>
        <w:topLinePunct w:val="0"/>
        <w:autoSpaceDE/>
        <w:autoSpaceDN/>
        <w:bidi w:val="0"/>
        <w:adjustRightInd/>
        <w:snapToGrid/>
        <w:spacing w:line="579" w:lineRule="exact"/>
        <w:ind w:left="0" w:firstLine="640" w:firstLineChars="200"/>
        <w:jc w:val="both"/>
        <w:textAlignment w:val="auto"/>
        <w:rPr>
          <w:rFonts w:ascii="仿宋" w:hAnsi="仿宋" w:eastAsia="仿宋" w:cs="仿宋"/>
          <w:color w:val="auto"/>
          <w:sz w:val="32"/>
          <w:szCs w:val="40"/>
          <w:highlight w:val="none"/>
        </w:rPr>
      </w:pPr>
    </w:p>
    <w:p>
      <w:pPr>
        <w:keepNext w:val="0"/>
        <w:keepLines w:val="0"/>
        <w:pageBreakBefore w:val="0"/>
        <w:kinsoku/>
        <w:wordWrap/>
        <w:overflowPunct/>
        <w:topLinePunct w:val="0"/>
        <w:autoSpaceDE/>
        <w:autoSpaceDN/>
        <w:bidi w:val="0"/>
        <w:adjustRightInd/>
        <w:snapToGrid/>
        <w:spacing w:line="579" w:lineRule="exact"/>
        <w:ind w:left="0" w:firstLine="420" w:firstLineChars="200"/>
        <w:jc w:val="both"/>
        <w:textAlignment w:val="auto"/>
        <w:rPr>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hNDg5ODZjZThhMDdhNzBlMmQwNzBkYzg3Njg4NTIifQ=="/>
  </w:docVars>
  <w:rsids>
    <w:rsidRoot w:val="00000000"/>
    <w:rsid w:val="1B5605FC"/>
    <w:rsid w:val="1CFB3F73"/>
    <w:rsid w:val="1E1E2E38"/>
    <w:rsid w:val="1FE21DBC"/>
    <w:rsid w:val="26784616"/>
    <w:rsid w:val="268424CA"/>
    <w:rsid w:val="27DF79F5"/>
    <w:rsid w:val="2AA4730F"/>
    <w:rsid w:val="2AB253C7"/>
    <w:rsid w:val="2CF47187"/>
    <w:rsid w:val="2D8D61FA"/>
    <w:rsid w:val="33AE18E8"/>
    <w:rsid w:val="34394F92"/>
    <w:rsid w:val="355A75F6"/>
    <w:rsid w:val="372B6EA7"/>
    <w:rsid w:val="481A13EE"/>
    <w:rsid w:val="4A88080F"/>
    <w:rsid w:val="55B616F7"/>
    <w:rsid w:val="57525C4F"/>
    <w:rsid w:val="5C28597E"/>
    <w:rsid w:val="6619520F"/>
    <w:rsid w:val="6C791B48"/>
    <w:rsid w:val="703E6DCF"/>
    <w:rsid w:val="790F608F"/>
    <w:rsid w:val="7FF42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line="640" w:lineRule="exact"/>
      <w:jc w:val="center"/>
    </w:pPr>
    <w:rPr>
      <w:sz w:val="44"/>
      <w:szCs w:val="44"/>
    </w:rPr>
  </w:style>
  <w:style w:type="paragraph" w:styleId="3">
    <w:name w:val="toc 5"/>
    <w:basedOn w:val="1"/>
    <w:next w:val="1"/>
    <w:qFormat/>
    <w:uiPriority w:val="0"/>
    <w:pPr>
      <w:ind w:left="1680"/>
    </w:pPr>
    <w:rPr>
      <w:rFonts w:ascii="Calibri" w:hAnsi="Calibri" w:eastAsia="宋体" w:cs="Times New Roman"/>
    </w:rPr>
  </w:style>
  <w:style w:type="paragraph" w:styleId="4">
    <w:name w:val="endnote text"/>
    <w:basedOn w:val="1"/>
    <w:next w:val="2"/>
    <w:qFormat/>
    <w:uiPriority w:val="0"/>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6">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4064</Words>
  <Characters>4074</Characters>
  <Lines>0</Lines>
  <Paragraphs>0</Paragraphs>
  <TotalTime>51</TotalTime>
  <ScaleCrop>false</ScaleCrop>
  <LinksUpToDate>false</LinksUpToDate>
  <CharactersWithSpaces>4119</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2023-09-21T02:53:00Z</dcterms:created>
  <dc:creator>Administrator</dc:creator>
  <cp:lastModifiedBy>Administrator</cp:lastModifiedBy>
  <cp:lastPrinted>2023-10-10T06:08:00Z</cp:lastPrinted>
  <dcterms:modified xsi:type="dcterms:W3CDTF">2023-10-23T02:23:54Z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13047383E2604DB7A8DDFB609DC96BC1</vt:lpwstr>
  </property>
</Properties>
</file>