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b/>
          <w:sz w:val="44"/>
          <w:szCs w:val="44"/>
        </w:rPr>
      </w:pPr>
      <w:bookmarkStart w:id="0" w:name="_GoBack"/>
      <w:bookmarkEnd w:id="0"/>
    </w:p>
    <w:p>
      <w:pPr>
        <w:spacing w:after="312" w:afterLines="100" w:line="800" w:lineRule="exact"/>
        <w:jc w:val="center"/>
        <w:rPr>
          <w:rFonts w:hint="eastAsia" w:ascii="仿宋_GB2312" w:eastAsia="仿宋_GB2312"/>
          <w:sz w:val="30"/>
          <w:szCs w:val="30"/>
        </w:rPr>
      </w:pPr>
      <w:r>
        <w:rPr>
          <w:rFonts w:hint="eastAsia"/>
          <w:b/>
          <w:sz w:val="36"/>
          <w:szCs w:val="36"/>
        </w:rPr>
        <w:t xml:space="preserve"> </w:t>
      </w:r>
    </w:p>
    <w:p>
      <w:pPr>
        <w:spacing w:after="312" w:afterLines="100" w:line="560" w:lineRule="exact"/>
        <w:jc w:val="center"/>
        <w:rPr>
          <w:rFonts w:hint="eastAsia" w:ascii="仿宋_GB2312" w:eastAsia="仿宋_GB2312"/>
          <w:sz w:val="30"/>
          <w:szCs w:val="30"/>
        </w:rPr>
      </w:pPr>
    </w:p>
    <w:p>
      <w:pPr>
        <w:widowControl/>
        <w:spacing w:line="800" w:lineRule="exact"/>
        <w:jc w:val="center"/>
        <w:textAlignment w:val="baseline"/>
        <w:rPr>
          <w:rFonts w:hint="eastAsia" w:ascii="仿宋_GB2312" w:eastAsia="仿宋_GB2312"/>
          <w:sz w:val="30"/>
          <w:szCs w:val="30"/>
        </w:rPr>
      </w:pPr>
    </w:p>
    <w:p>
      <w:pPr>
        <w:widowControl/>
        <w:spacing w:line="800" w:lineRule="exact"/>
        <w:jc w:val="center"/>
        <w:textAlignment w:val="baseline"/>
        <w:rPr>
          <w:rFonts w:hint="eastAsia" w:ascii="仿宋_GB2312" w:eastAsia="仿宋_GB2312"/>
          <w:sz w:val="30"/>
          <w:szCs w:val="30"/>
        </w:rPr>
      </w:pPr>
    </w:p>
    <w:p>
      <w:pPr>
        <w:spacing w:after="312" w:afterLines="100" w:line="360" w:lineRule="exact"/>
        <w:ind w:left="0" w:leftChars="0" w:firstLine="0" w:firstLineChars="0"/>
        <w:jc w:val="center"/>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东发﹝202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号</w:t>
      </w:r>
    </w:p>
    <w:p>
      <w:pPr>
        <w:spacing w:line="560" w:lineRule="exact"/>
        <w:ind w:left="0" w:leftChars="0"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0"/>
          <w:kern w:val="0"/>
          <w:sz w:val="44"/>
          <w:szCs w:val="44"/>
          <w:fitText w:val="7480" w:id="1222730052"/>
        </w:rPr>
        <w:t>中共长沙高新区东方红街道工作委员会</w:t>
      </w: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关于印发《开展基层党组织整建提质专项行动实施方案》的通知</w:t>
      </w:r>
    </w:p>
    <w:p>
      <w:pPr>
        <w:shd w:val="clear" w:color="auto" w:fill="FFFFFF"/>
        <w:snapToGrid w:val="0"/>
        <w:spacing w:line="560" w:lineRule="exact"/>
        <w:ind w:left="0" w:leftChars="0" w:firstLine="0" w:firstLineChars="0"/>
        <w:rPr>
          <w:rFonts w:hint="eastAsia" w:ascii="仿宋_GB2312" w:hAnsi="仿宋_GB2312" w:eastAsia="仿宋_GB2312" w:cs="仿宋_GB2312"/>
          <w:sz w:val="32"/>
          <w:szCs w:val="32"/>
          <w:u w:val="none"/>
        </w:rPr>
      </w:pPr>
    </w:p>
    <w:p>
      <w:pPr>
        <w:shd w:val="clear" w:color="auto" w:fill="FFFFFF"/>
        <w:snapToGrid w:val="0"/>
        <w:spacing w:line="560" w:lineRule="exact"/>
        <w:ind w:left="0" w:leftChars="0" w:firstLine="0" w:firstLineChars="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各村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社区党（总）支部、机关</w:t>
      </w:r>
      <w:r>
        <w:rPr>
          <w:rFonts w:hint="eastAsia" w:ascii="仿宋_GB2312" w:hAnsi="仿宋_GB2312" w:eastAsia="仿宋_GB2312" w:cs="仿宋_GB2312"/>
          <w:sz w:val="32"/>
          <w:szCs w:val="32"/>
          <w:u w:val="none"/>
          <w:lang w:eastAsia="zh-CN"/>
        </w:rPr>
        <w:t>党支部</w:t>
      </w:r>
      <w:r>
        <w:rPr>
          <w:rFonts w:hint="eastAsia" w:ascii="仿宋_GB2312" w:hAnsi="仿宋_GB2312" w:eastAsia="仿宋_GB2312" w:cs="仿宋_GB2312"/>
          <w:sz w:val="32"/>
          <w:szCs w:val="32"/>
          <w:u w:val="none"/>
        </w:rPr>
        <w:t>、基层服务人员</w:t>
      </w:r>
      <w:r>
        <w:rPr>
          <w:rFonts w:hint="eastAsia" w:ascii="仿宋_GB2312" w:hAnsi="仿宋_GB2312" w:eastAsia="仿宋_GB2312" w:cs="仿宋_GB2312"/>
          <w:sz w:val="32"/>
          <w:szCs w:val="32"/>
          <w:u w:val="none"/>
          <w:lang w:eastAsia="zh-CN"/>
        </w:rPr>
        <w:t>党支部、两新综合党委</w:t>
      </w:r>
      <w:r>
        <w:rPr>
          <w:rFonts w:hint="eastAsia" w:ascii="仿宋_GB2312" w:hAnsi="仿宋_GB2312" w:eastAsia="仿宋_GB2312" w:cs="仿宋_GB2312"/>
          <w:sz w:val="32"/>
          <w:szCs w:val="32"/>
          <w:u w:val="none"/>
        </w:rPr>
        <w:t>：</w:t>
      </w:r>
    </w:p>
    <w:p>
      <w:pPr>
        <w:shd w:val="clear" w:color="auto" w:fill="FFFFFF"/>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开展党的组织法规制度落实“回头看”专项行动工作方案</w:t>
      </w:r>
      <w:r>
        <w:rPr>
          <w:rFonts w:hint="eastAsia" w:ascii="仿宋_GB2312" w:hAnsi="仿宋_GB2312" w:eastAsia="仿宋_GB2312" w:cs="仿宋_GB2312"/>
          <w:sz w:val="32"/>
          <w:szCs w:val="32"/>
        </w:rPr>
        <w:t>》已由街道党工委研究通过，现予以印发，请认真遵照执行。</w:t>
      </w:r>
    </w:p>
    <w:p>
      <w:pPr>
        <w:shd w:val="clear" w:color="auto" w:fill="FFFFFF"/>
        <w:snapToGrid w:val="0"/>
        <w:spacing w:line="560" w:lineRule="exact"/>
        <w:ind w:left="0" w:leftChars="0" w:firstLine="0" w:firstLineChars="0"/>
        <w:rPr>
          <w:rFonts w:hint="eastAsia" w:ascii="仿宋_GB2312" w:hAnsi="宋体" w:eastAsia="仿宋_GB2312"/>
          <w:bCs/>
          <w:sz w:val="32"/>
          <w:szCs w:val="32"/>
        </w:rPr>
      </w:pPr>
    </w:p>
    <w:p>
      <w:pPr>
        <w:shd w:val="clear" w:color="auto" w:fill="FFFFFF"/>
        <w:snapToGrid w:val="0"/>
        <w:spacing w:line="560" w:lineRule="exact"/>
        <w:ind w:firstLine="4320" w:firstLineChars="1350"/>
        <w:jc w:val="right"/>
        <w:rPr>
          <w:rFonts w:hint="eastAsia" w:ascii="仿宋_GB2312" w:hAnsi="仿宋_GB2312" w:eastAsia="仿宋_GB2312" w:cs="仿宋_GB2312"/>
          <w:sz w:val="32"/>
          <w:szCs w:val="32"/>
        </w:rPr>
      </w:pPr>
    </w:p>
    <w:p>
      <w:pPr>
        <w:shd w:val="clear" w:color="auto" w:fill="FFFFFF"/>
        <w:snapToGrid w:val="0"/>
        <w:spacing w:line="560" w:lineRule="exact"/>
        <w:ind w:left="2100" w:leftChars="0" w:firstLine="42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中共长沙高新区东方红街道工作委员会</w:t>
      </w:r>
    </w:p>
    <w:p>
      <w:pPr>
        <w:shd w:val="clear" w:color="auto" w:fill="FFFFFF"/>
        <w:snapToGrid w:val="0"/>
        <w:spacing w:line="560" w:lineRule="exact"/>
        <w:ind w:left="2100" w:leftChars="0" w:firstLine="420" w:firstLineChars="0"/>
        <w:jc w:val="center"/>
        <w:rPr>
          <w:rFonts w:hint="eastAsia" w:ascii="仿宋_GB2312" w:hAnsi="仿宋_GB2312" w:eastAsia="仿宋_GB2312" w:cs="仿宋_GB2312"/>
          <w:spacing w:val="40"/>
          <w:sz w:val="32"/>
          <w:szCs w:val="32"/>
        </w:rPr>
      </w:pPr>
      <w:r>
        <w:rPr>
          <w:rFonts w:hint="eastAsia" w:ascii="仿宋_GB2312" w:hAnsi="仿宋_GB2312" w:eastAsia="仿宋_GB2312" w:cs="仿宋_GB2312"/>
          <w:spacing w:val="40"/>
          <w:sz w:val="32"/>
          <w:szCs w:val="32"/>
        </w:rPr>
        <w:t>2022年</w:t>
      </w:r>
      <w:r>
        <w:rPr>
          <w:rFonts w:hint="eastAsia" w:ascii="仿宋_GB2312" w:hAnsi="仿宋_GB2312" w:eastAsia="仿宋_GB2312" w:cs="仿宋_GB2312"/>
          <w:spacing w:val="40"/>
          <w:sz w:val="32"/>
          <w:szCs w:val="32"/>
          <w:lang w:val="en-US" w:eastAsia="zh-CN"/>
        </w:rPr>
        <w:t>4</w:t>
      </w:r>
      <w:r>
        <w:rPr>
          <w:rFonts w:hint="eastAsia" w:ascii="仿宋_GB2312" w:hAnsi="仿宋_GB2312" w:eastAsia="仿宋_GB2312" w:cs="仿宋_GB2312"/>
          <w:spacing w:val="40"/>
          <w:sz w:val="32"/>
          <w:szCs w:val="32"/>
        </w:rPr>
        <w:t>月</w:t>
      </w:r>
      <w:r>
        <w:rPr>
          <w:rFonts w:hint="eastAsia" w:ascii="仿宋_GB2312" w:hAnsi="仿宋_GB2312" w:eastAsia="仿宋_GB2312" w:cs="仿宋_GB2312"/>
          <w:spacing w:val="40"/>
          <w:sz w:val="32"/>
          <w:szCs w:val="32"/>
          <w:lang w:val="en-US" w:eastAsia="zh-CN"/>
        </w:rPr>
        <w:t>13</w:t>
      </w:r>
      <w:r>
        <w:rPr>
          <w:rFonts w:hint="eastAsia" w:ascii="仿宋_GB2312" w:hAnsi="仿宋_GB2312" w:eastAsia="仿宋_GB2312" w:cs="仿宋_GB2312"/>
          <w:spacing w:val="40"/>
          <w:sz w:val="32"/>
          <w:szCs w:val="32"/>
        </w:rPr>
        <w:t>日</w:t>
      </w:r>
    </w:p>
    <w:p>
      <w:pPr>
        <w:shd w:val="clear" w:color="auto" w:fill="FFFFFF"/>
        <w:snapToGrid w:val="0"/>
        <w:spacing w:line="560" w:lineRule="exact"/>
        <w:rPr>
          <w:rFonts w:hint="eastAsia" w:ascii="仿宋_GB2312" w:hAnsi="仿宋_GB2312" w:eastAsia="仿宋_GB2312" w:cs="仿宋_GB2312"/>
          <w:spacing w:val="40"/>
          <w:sz w:val="32"/>
          <w:szCs w:val="32"/>
        </w:rPr>
      </w:pPr>
    </w:p>
    <w:p>
      <w:pPr>
        <w:shd w:val="clear" w:color="auto" w:fill="FFFFFF"/>
        <w:snapToGrid w:val="0"/>
        <w:spacing w:line="560" w:lineRule="exact"/>
        <w:ind w:left="0" w:leftChars="0" w:firstLine="0" w:firstLineChars="0"/>
        <w:rPr>
          <w:rFonts w:hint="eastAsia" w:ascii="仿宋_GB2312" w:hAnsi="仿宋_GB2312" w:eastAsia="仿宋_GB2312" w:cs="仿宋_GB2312"/>
          <w:spacing w:val="40"/>
          <w:sz w:val="32"/>
          <w:szCs w:val="32"/>
        </w:rPr>
      </w:pPr>
    </w:p>
    <w:p>
      <w:pPr>
        <w:shd w:val="clear" w:color="auto" w:fill="FFFFFF"/>
        <w:snapToGrid w:val="0"/>
        <w:spacing w:line="560" w:lineRule="exact"/>
        <w:rPr>
          <w:rFonts w:hint="eastAsia" w:cs="仿宋"/>
          <w:sz w:val="32"/>
          <w:szCs w:val="32"/>
          <w:lang w:val="en-US" w:eastAsia="zh-CN"/>
        </w:rPr>
      </w:pPr>
    </w:p>
    <w:p>
      <w:pPr>
        <w:shd w:val="clear" w:color="auto" w:fill="FFFFFF"/>
        <w:snapToGrid w:val="0"/>
        <w:spacing w:line="560" w:lineRule="exact"/>
        <w:ind w:left="0" w:leftChars="0" w:firstLine="0" w:firstLineChars="0"/>
        <w:jc w:val="center"/>
        <w:rPr>
          <w:rFonts w:hint="eastAsia" w:ascii="方正小标宋简体" w:hAnsi="方正小标宋简体" w:eastAsia="方正小标宋简体" w:cs="方正小标宋简体"/>
          <w:sz w:val="44"/>
          <w:szCs w:val="44"/>
          <w:lang w:val="en-US" w:eastAsia="zh-CN"/>
        </w:rPr>
      </w:pPr>
    </w:p>
    <w:p>
      <w:pPr>
        <w:shd w:val="clear" w:color="auto" w:fill="FFFFFF"/>
        <w:snapToGrid w:val="0"/>
        <w:spacing w:line="560" w:lineRule="exact"/>
        <w:ind w:left="0" w:leftChars="0" w:firstLine="0" w:firstLineChars="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开展基层党组织整建提质专项行动实施</w:t>
      </w:r>
    </w:p>
    <w:p>
      <w:pPr>
        <w:shd w:val="clear" w:color="auto" w:fill="FFFFFF"/>
        <w:snapToGrid w:val="0"/>
        <w:spacing w:line="560" w:lineRule="exact"/>
        <w:ind w:left="0" w:leftChars="0" w:firstLine="0" w:firstLineChars="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方  案</w:t>
      </w:r>
    </w:p>
    <w:p>
      <w:pPr>
        <w:shd w:val="clear" w:color="auto" w:fill="FFFFFF"/>
        <w:snapToGrid w:val="0"/>
        <w:spacing w:line="560" w:lineRule="exact"/>
        <w:rPr>
          <w:rFonts w:hint="eastAsia" w:cs="仿宋"/>
          <w:sz w:val="32"/>
          <w:szCs w:val="32"/>
          <w:lang w:val="en-US" w:eastAsia="zh-CN"/>
        </w:rPr>
      </w:pPr>
    </w:p>
    <w:p>
      <w:pPr>
        <w:pageBreakBefore w:val="0"/>
        <w:widowControl w:val="0"/>
        <w:shd w:val="clear" w:color="auto" w:fill="FFFFFF"/>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新时代中国特色社会主义思想，认真落实中央和省委、市委关于基层组织建设有关部署，巩固拓展党史学习教育成果，进一步增强基层党组织政治功能和组织力，提升基层治理体系和治理能力现代化水平，根据省委、市委要求，按照湘组[2022]30号文件要求，更好的在街道开展基层党组织整建提质专项行动，现制定实施方案如下。</w:t>
      </w:r>
    </w:p>
    <w:p>
      <w:pPr>
        <w:pStyle w:val="6"/>
        <w:pageBreakBefore w:val="0"/>
        <w:widowControl w:val="0"/>
        <w:numPr>
          <w:ilvl w:val="0"/>
          <w:numId w:val="0"/>
        </w:numPr>
        <w:kinsoku/>
        <w:wordWrap/>
        <w:overflowPunct/>
        <w:topLinePunct w:val="0"/>
        <w:autoSpaceDE/>
        <w:autoSpaceDN/>
        <w:bidi w:val="0"/>
        <w:adjustRightInd/>
        <w:ind w:left="640" w:leftChars="0"/>
        <w:textAlignment w:val="auto"/>
        <w:rPr>
          <w:rFonts w:hint="eastAsia" w:ascii="黑体" w:hAnsi="黑体" w:eastAsia="黑体" w:cs="黑体"/>
          <w:lang w:val="en-US" w:eastAsia="zh-CN"/>
        </w:rPr>
      </w:pPr>
      <w:r>
        <w:rPr>
          <w:rFonts w:hint="eastAsia" w:ascii="黑体" w:hAnsi="黑体" w:eastAsia="黑体" w:cs="黑体"/>
          <w:lang w:val="en-US" w:eastAsia="zh-CN"/>
        </w:rPr>
        <w:t>一、工作目标</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围绕“强组织、善治理、增活力，以新风正气喜迎党的二十大”主题，按照“抓重点、治乱象、固根基、建机制”的要求，从2022年4月到11月，以村（社区）基层党组织为重点，扎实开张基层党组织整建提质专项行动。着力解决基层党组织建设和基层治理中的突出问题，推动基层党组织全面进步、全面过硬，以实际行动迎接党的二十大胜利召开。</w:t>
      </w:r>
    </w:p>
    <w:p>
      <w:pPr>
        <w:pStyle w:val="6"/>
        <w:pageBreakBefore w:val="0"/>
        <w:widowControl w:val="0"/>
        <w:numPr>
          <w:ilvl w:val="0"/>
          <w:numId w:val="0"/>
        </w:numPr>
        <w:kinsoku/>
        <w:wordWrap/>
        <w:overflowPunct/>
        <w:topLinePunct w:val="0"/>
        <w:autoSpaceDE/>
        <w:autoSpaceDN/>
        <w:bidi w:val="0"/>
        <w:adjustRightInd/>
        <w:ind w:left="640" w:leftChars="0"/>
        <w:textAlignment w:val="auto"/>
        <w:rPr>
          <w:rFonts w:hint="eastAsia" w:ascii="黑体" w:hAnsi="黑体" w:eastAsia="黑体" w:cs="黑体"/>
          <w:lang w:val="en-US" w:eastAsia="zh-CN"/>
        </w:rPr>
      </w:pPr>
      <w:r>
        <w:rPr>
          <w:rFonts w:hint="eastAsia" w:ascii="黑体" w:hAnsi="黑体" w:eastAsia="黑体" w:cs="黑体"/>
          <w:lang w:val="en-US" w:eastAsia="zh-CN"/>
        </w:rPr>
        <w:t>二、组织领导</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成立东方红街道开展基层党组织整建提质专项行动领导小组</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组      长：冯向阳</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第一副组长：肖  勇</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副组长：朱立国、张志远、周  伟、段利夫、闵国强、吕正良、李义阳（常务）、王  多、王博宇、黄  鹏、严  攀</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成员单位：街道纪工委、各村（社区）党总支、机关党支部、基层服务人员党支部、街道两新综合党委</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领导小组下设办公室，负责日常组织协调督导等事务，由李旺胜兼任办公室主任；街道纪工委对整建提质专项行动进行定期督查和通报。</w:t>
      </w:r>
    </w:p>
    <w:p>
      <w:pPr>
        <w:pStyle w:val="6"/>
        <w:pageBreakBefore w:val="0"/>
        <w:widowControl w:val="0"/>
        <w:numPr>
          <w:ilvl w:val="0"/>
          <w:numId w:val="0"/>
        </w:numPr>
        <w:kinsoku/>
        <w:wordWrap/>
        <w:overflowPunct/>
        <w:topLinePunct w:val="0"/>
        <w:autoSpaceDE/>
        <w:autoSpaceDN/>
        <w:bidi w:val="0"/>
        <w:adjustRightInd/>
        <w:ind w:left="640" w:leftChars="0"/>
        <w:textAlignment w:val="auto"/>
        <w:rPr>
          <w:rFonts w:hint="eastAsia" w:ascii="黑体" w:hAnsi="黑体" w:eastAsia="黑体" w:cs="黑体"/>
          <w:lang w:val="en-US" w:eastAsia="zh-CN"/>
        </w:rPr>
      </w:pPr>
      <w:r>
        <w:rPr>
          <w:rFonts w:hint="eastAsia" w:ascii="黑体" w:hAnsi="黑体" w:eastAsia="黑体" w:cs="黑体"/>
          <w:lang w:val="en-US" w:eastAsia="zh-CN"/>
        </w:rPr>
        <w:t>三、工作任务</w:t>
      </w:r>
    </w:p>
    <w:p>
      <w:pPr>
        <w:pStyle w:val="7"/>
        <w:pageBreakBefore w:val="0"/>
        <w:widowControl w:val="0"/>
        <w:kinsoku/>
        <w:wordWrap/>
        <w:overflowPunct/>
        <w:topLinePunct w:val="0"/>
        <w:autoSpaceDE/>
        <w:autoSpaceDN/>
        <w:bidi w:val="0"/>
        <w:adjustRightInd/>
        <w:textAlignment w:val="auto"/>
        <w:rPr>
          <w:rFonts w:hint="eastAsia" w:ascii="楷体" w:hAnsi="楷体" w:eastAsia="楷体" w:cs="楷体"/>
          <w:lang w:val="en-US" w:eastAsia="zh-CN"/>
        </w:rPr>
      </w:pPr>
      <w:r>
        <w:rPr>
          <w:rFonts w:hint="eastAsia" w:ascii="楷体" w:hAnsi="楷体" w:eastAsia="楷体" w:cs="楷体"/>
          <w:lang w:val="en-US" w:eastAsia="zh-CN"/>
        </w:rPr>
        <w:t>（一）逐村（社区）逐户全面排查摸底（4月底前）</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1、拉网式做好突出问题摸排。</w:t>
      </w:r>
      <w:r>
        <w:rPr>
          <w:rFonts w:hint="eastAsia" w:ascii="仿宋_GB2312" w:hAnsi="仿宋_GB2312" w:eastAsia="仿宋_GB2312" w:cs="仿宋_GB2312"/>
          <w:lang w:val="en-US" w:eastAsia="zh-CN"/>
        </w:rPr>
        <w:t>聚焦电信网络诈骗、涉毒、黑恶势力、非法宗教等重点情形，紧盯城中村、城乡结合部、流动人员聚集地租住屋、老旧小区、安置区等重点部位，关注无业闲散人员、长期未归人员、农民留守人员等重点人员，结合开展党群连心“五个到户”，村（社区）要普遍开展一次“敲门行动”，对所有住户至少入户走访一次。城市要注重发挥网格员，楼栋长、志愿者作用，农村要注重发挥党员骨干、“五老”作用，街道干部要协助村（社区）沉下去摸情况、查问题，做到不漏一户。排查结束后，街道党工委将对辖区村（社区）进行一次综合分析，逐村（社区）建立基层治理突出问题清单。</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2、认真开展村（社区）换届“回头看”。</w:t>
      </w:r>
      <w:r>
        <w:rPr>
          <w:rFonts w:hint="eastAsia" w:ascii="仿宋_GB2312" w:hAnsi="仿宋_GB2312" w:eastAsia="仿宋_GB2312" w:cs="仿宋_GB2312"/>
          <w:lang w:val="en-US" w:eastAsia="zh-CN"/>
        </w:rPr>
        <w:t>街道党工委将逐村（社区）开展调研，对村（社区）“两委”班子运行情况以及党组织书记表现情况，进行综合分析研判，主要看“班子运行顺不顺、工作能力强不强、精神状态好不好、群众反映怎么样、矛盾问题有没有”。综合运用谈心谈话、民主测评、入户走访、查阅资料等方式，了解掌握组织设置是否合理、领导班子是否健全、组织制度是否完善、经费场所保障是否落实、作用发挥是否充分、治理是否存在乱象等情况。做到底数清晰、情况清楚、街道党工委将村（社区）换届“回头看”形成专题报告，报区党群工作局。</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3、坚持学查改齐头并进。</w:t>
      </w:r>
      <w:r>
        <w:rPr>
          <w:rFonts w:hint="eastAsia" w:ascii="仿宋_GB2312" w:hAnsi="仿宋_GB2312" w:eastAsia="仿宋_GB2312" w:cs="仿宋_GB2312"/>
          <w:lang w:val="en-US" w:eastAsia="zh-CN"/>
        </w:rPr>
        <w:t>把学习教育贯穿整建提质行动始终，深入实施新时代基层干部主题培训行动计划，运用灵活多样、务实管用的方式，组织党员干部学党史、学理论、学政策、学法规，特别是认真学习党的十九大和十九届历次全会精神，学习习近平总书记关于基层党建、乡村振兴、基层治理的重要论述和习近平总书记考察湖南重要讲话重要指示精神，学习党的十八大以来以及中央和省委、市委关于加强基层建设的有关文件。要坚持问题导向，对排查分析发现的问题特别是群众急难愁盼问题，坚持立行立改，让群众切实感受到整建提质行动带来的新变化。</w:t>
      </w:r>
    </w:p>
    <w:p>
      <w:pPr>
        <w:pStyle w:val="7"/>
        <w:pageBreakBefore w:val="0"/>
        <w:widowControl w:val="0"/>
        <w:kinsoku/>
        <w:wordWrap/>
        <w:overflowPunct/>
        <w:topLinePunct w:val="0"/>
        <w:autoSpaceDE/>
        <w:autoSpaceDN/>
        <w:bidi w:val="0"/>
        <w:adjustRightInd/>
        <w:textAlignment w:val="auto"/>
        <w:rPr>
          <w:rFonts w:hint="eastAsia" w:ascii="楷体" w:hAnsi="楷体" w:eastAsia="楷体" w:cs="楷体"/>
          <w:lang w:val="en-US" w:eastAsia="zh-CN"/>
        </w:rPr>
      </w:pPr>
      <w:r>
        <w:rPr>
          <w:rFonts w:hint="eastAsia" w:ascii="楷体" w:hAnsi="楷体" w:eastAsia="楷体" w:cs="楷体"/>
          <w:lang w:val="en-US" w:eastAsia="zh-CN"/>
        </w:rPr>
        <w:t>（二）不折不扣开展集中整治（4月至11月）</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1、整顿软弱涣散基层党组织。</w:t>
      </w:r>
      <w:r>
        <w:rPr>
          <w:rFonts w:hint="eastAsia" w:ascii="仿宋_GB2312" w:hAnsi="仿宋_GB2312" w:eastAsia="仿宋_GB2312" w:cs="仿宋_GB2312"/>
          <w:lang w:val="en-US" w:eastAsia="zh-CN"/>
        </w:rPr>
        <w:t>街道党工委根据</w:t>
      </w:r>
      <w:r>
        <w:rPr>
          <w:rFonts w:hint="eastAsia" w:ascii="仿宋_GB2312" w:hAnsi="仿宋_GB2312" w:eastAsia="仿宋_GB2312" w:cs="仿宋_GB2312"/>
          <w:lang w:val="en-US" w:eastAsia="zh-CN"/>
        </w:rPr>
        <w:tab/>
      </w:r>
      <w:r>
        <w:rPr>
          <w:rFonts w:hint="eastAsia" w:ascii="仿宋_GB2312" w:hAnsi="仿宋_GB2312" w:eastAsia="仿宋_GB2312" w:cs="仿宋_GB2312"/>
          <w:lang w:val="en-US" w:eastAsia="zh-CN"/>
        </w:rPr>
        <w:t>市、区相关职能部门对近年来基层党建、村级巡查、信访案件、治安案件、违法犯罪案件等排查梳理分析的反馈情况，结合基层治理突出问题摸排、村（社区）换届“回头看”调研等情况，决定是否提出软弱涣散基层党组织名单，并按市区文件规定流程上报。</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2、打赢突出问题整治攻坚战。</w:t>
      </w:r>
      <w:r>
        <w:rPr>
          <w:rFonts w:hint="eastAsia" w:ascii="仿宋_GB2312" w:hAnsi="仿宋_GB2312" w:eastAsia="仿宋_GB2312" w:cs="仿宋_GB2312"/>
          <w:b w:val="0"/>
          <w:bCs w:val="0"/>
          <w:lang w:val="en-US" w:eastAsia="zh-CN"/>
        </w:rPr>
        <w:t>配合市、区两级统战、政法、民宗、公安、信访等部门</w:t>
      </w:r>
      <w:r>
        <w:rPr>
          <w:rFonts w:hint="eastAsia" w:ascii="仿宋_GB2312" w:hAnsi="仿宋_GB2312" w:eastAsia="仿宋_GB2312" w:cs="仿宋_GB2312"/>
          <w:lang w:val="en-US" w:eastAsia="zh-CN"/>
        </w:rPr>
        <w:t>开展专项行动，上下协同配合，深入打击电信诈骗、涉毒、非法宗教、“村霸”等黑恶势力侵蚀基层治理突出问题，依法严惩、除恶务尽。通过挂牌督办、组建专项工作组等方式，对问题严重、隐患突出、矛盾集中连片的地区集中力量、重点攻坚，加强综合治理、源头治理。加强对有违法前科、吸毒、无业闲散、失学辍学青少年等重点人员思想引导和心理关怀，为他们就业、务工、就学等提供必要帮助，防止其拉帮结派或被黑恶势力教唆、利用。</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3、全面推行邻里党建“微网格+党员联户”。</w:t>
      </w:r>
      <w:r>
        <w:rPr>
          <w:rFonts w:hint="eastAsia" w:ascii="仿宋_GB2312" w:hAnsi="仿宋_GB2312" w:eastAsia="仿宋_GB2312" w:cs="仿宋_GB2312"/>
          <w:lang w:val="en-US" w:eastAsia="zh-CN"/>
        </w:rPr>
        <w:t>按照“就近、就便、就熟”原则，组织街道干部和村（社区）有能力的党员担任微网格长，每名党员一般联系10-15户，注重安排讲政治、敢担当、善作为的党员结对联系帮扶重点人员。通过线上微信群即时掌握联系户家庭情况、思想动态、诉求困难。</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4、切实发挥基层党建引领作用。</w:t>
      </w:r>
      <w:r>
        <w:rPr>
          <w:rFonts w:hint="eastAsia" w:ascii="仿宋_GB2312" w:hAnsi="仿宋_GB2312" w:eastAsia="仿宋_GB2312" w:cs="仿宋_GB2312"/>
          <w:lang w:val="en-US" w:eastAsia="zh-CN"/>
        </w:rPr>
        <w:t>发动党员通过公开承诺践诺、开展志愿服务等，旗帜鲜明同邪教迷信、“黄赌毒”、电信网络诈骗等不法行为做坚决斗争。结合新时代文明实践活动，推进移风易俗，弘扬时代新风，推动文明新风进农村社区、进企业商圈、进学校医院，丰富群众精神文化生活，引导群众树立正气，抵制落后腐朽文化侵蚀。</w:t>
      </w:r>
    </w:p>
    <w:p>
      <w:pPr>
        <w:pStyle w:val="7"/>
        <w:pageBreakBefore w:val="0"/>
        <w:widowControl w:val="0"/>
        <w:kinsoku/>
        <w:wordWrap/>
        <w:overflowPunct/>
        <w:topLinePunct w:val="0"/>
        <w:autoSpaceDE/>
        <w:autoSpaceDN/>
        <w:bidi w:val="0"/>
        <w:adjustRightInd/>
        <w:textAlignment w:val="auto"/>
        <w:rPr>
          <w:rFonts w:hint="eastAsia" w:ascii="楷体" w:hAnsi="楷体" w:eastAsia="楷体" w:cs="楷体"/>
          <w:lang w:val="en-US" w:eastAsia="zh-CN"/>
        </w:rPr>
      </w:pPr>
      <w:r>
        <w:rPr>
          <w:rFonts w:hint="eastAsia" w:ascii="楷体" w:hAnsi="楷体" w:eastAsia="楷体" w:cs="楷体"/>
          <w:lang w:val="en-US" w:eastAsia="zh-CN"/>
        </w:rPr>
        <w:t>（三）从严从实组织评估验收（11月）</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1、严肃标准程序。</w:t>
      </w:r>
      <w:r>
        <w:rPr>
          <w:rFonts w:hint="eastAsia" w:ascii="仿宋_GB2312" w:hAnsi="仿宋_GB2312" w:eastAsia="仿宋_GB2312" w:cs="仿宋_GB2312"/>
          <w:lang w:val="en-US" w:eastAsia="zh-CN"/>
        </w:rPr>
        <w:t>按照“村（社区）自评，街考评、区评估、市核查”的程序，对集中整治情况逐个“过筛子”，重点看党组织建设是否得到加强，突出问题是否得到有效解决、党员群众是否真正满意。对验收不合格的基层党组织，将即时调整党组织书记，挂点包村、驻村结对的单位和个人不脱钩，持续开展整治，确保转化提质。</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2、突出整章建制。</w:t>
      </w:r>
      <w:r>
        <w:rPr>
          <w:rFonts w:hint="eastAsia" w:ascii="仿宋_GB2312" w:hAnsi="仿宋_GB2312" w:eastAsia="仿宋_GB2312" w:cs="仿宋_GB2312"/>
          <w:lang w:val="en-US" w:eastAsia="zh-CN"/>
        </w:rPr>
        <w:t xml:space="preserve">依托邻里党建“微网格+党员联户”，建立健全源头治理的防范整治机制，探索利用信息化技术建立综合指挥平台，形成信息收集、问题发现、任务分办、协同处理、结果反馈的工作机制，着力破解基层治理中的难点痛点问题，更加快捷、精准、高效服务群众。坚持当下治与长久立相结合，及时梳理、提炼、宣传好经验做法，推动整建提质工作制度长效化。  </w:t>
      </w:r>
    </w:p>
    <w:p>
      <w:pPr>
        <w:pageBreakBefore w:val="0"/>
        <w:widowControl w:val="0"/>
        <w:kinsoku/>
        <w:wordWrap/>
        <w:overflowPunct/>
        <w:topLinePunct w:val="0"/>
        <w:autoSpaceDE/>
        <w:autoSpaceDN/>
        <w:bidi w:val="0"/>
        <w:adjustRightInd/>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3、严格督查考核。</w:t>
      </w:r>
      <w:r>
        <w:rPr>
          <w:rFonts w:hint="eastAsia" w:ascii="仿宋_GB2312" w:hAnsi="仿宋_GB2312" w:eastAsia="仿宋_GB2312" w:cs="仿宋_GB2312"/>
          <w:lang w:val="en-US" w:eastAsia="zh-CN"/>
        </w:rPr>
        <w:t>将整建提质行动纳入抓基层党建述职评议考核和绩效考核的重要内容，对社会治理乱象易于滋生、屡治不绝的地区、领域，加强跟踪督导。对工作滞后、整建不力、效果不显著的，及时约谈提醒，严肃追责问责。街道开展整建提质领导小组将采取“四不两直”等方式开展实地核查，及时掌握工作进展，推动整建提质行动扎实开展。</w:t>
      </w:r>
    </w:p>
    <w:p>
      <w:pPr>
        <w:pageBreakBefore w:val="0"/>
        <w:widowControl w:val="0"/>
        <w:kinsoku/>
        <w:wordWrap/>
        <w:overflowPunct/>
        <w:topLinePunct w:val="0"/>
        <w:autoSpaceDE/>
        <w:autoSpaceDN/>
        <w:bidi w:val="0"/>
        <w:adjustRightInd/>
        <w:ind w:left="0" w:leftChars="0" w:firstLine="0" w:firstLineChars="0"/>
        <w:textAlignment w:val="auto"/>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ind w:left="0" w:leftChars="0" w:firstLine="0" w:firstLineChars="0"/>
        <w:textAlignment w:val="auto"/>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ind w:left="960" w:leftChars="0" w:hanging="960" w:hangingChars="3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附件：1、东方红街道开展基层党组织整建提质专项行动实施计划表</w:t>
      </w:r>
    </w:p>
    <w:p>
      <w:pPr>
        <w:pageBreakBefore w:val="0"/>
        <w:widowControl w:val="0"/>
        <w:kinsoku/>
        <w:wordWrap/>
        <w:overflowPunct/>
        <w:topLinePunct w:val="0"/>
        <w:autoSpaceDE/>
        <w:autoSpaceDN/>
        <w:bidi w:val="0"/>
        <w:adjustRightInd/>
        <w:ind w:left="960" w:leftChars="0" w:firstLine="0" w:firstLineChars="0"/>
        <w:textAlignment w:val="auto"/>
        <w:rPr>
          <w:rFonts w:hint="eastAsia" w:ascii="Arial" w:hAnsi="Arial" w:eastAsia="黑体" w:cstheme="minorBidi"/>
          <w:b w:val="0"/>
          <w:kern w:val="2"/>
          <w:sz w:val="40"/>
          <w:szCs w:val="32"/>
          <w:lang w:val="en-US" w:eastAsia="zh-CN" w:bidi="ar-SA"/>
        </w:rPr>
      </w:pPr>
      <w:r>
        <w:rPr>
          <w:rFonts w:hint="eastAsia" w:ascii="仿宋_GB2312" w:hAnsi="仿宋_GB2312" w:eastAsia="仿宋_GB2312" w:cs="仿宋_GB2312"/>
          <w:lang w:val="en-US" w:eastAsia="zh-CN"/>
        </w:rPr>
        <w:t>2、东方红街道村（社区）开展基层党组织整建提质“敲门行动”调查问卷参考模板</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3ZjI2MzU5ZWQ5ZWY3ZjVjNTIzM2RhMjI0MWJiYTcifQ=="/>
  </w:docVars>
  <w:rsids>
    <w:rsidRoot w:val="00172A27"/>
    <w:rsid w:val="0CDE3946"/>
    <w:rsid w:val="11E462C4"/>
    <w:rsid w:val="1818170B"/>
    <w:rsid w:val="18441CF2"/>
    <w:rsid w:val="185250DA"/>
    <w:rsid w:val="269D374E"/>
    <w:rsid w:val="2B946D81"/>
    <w:rsid w:val="35D1204D"/>
    <w:rsid w:val="3AEE589B"/>
    <w:rsid w:val="4140560B"/>
    <w:rsid w:val="416538BC"/>
    <w:rsid w:val="4EFF34F9"/>
    <w:rsid w:val="58E25BBA"/>
    <w:rsid w:val="6A7A4F50"/>
    <w:rsid w:val="76D71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仿宋" w:hAnsi="仿宋" w:eastAsia="仿宋" w:cstheme="minorBidi"/>
      <w:kern w:val="2"/>
      <w:sz w:val="32"/>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7">
    <w:name w:val="heading 3"/>
    <w:basedOn w:val="1"/>
    <w:next w:val="1"/>
    <w:unhideWhenUsed/>
    <w:qFormat/>
    <w:uiPriority w:val="0"/>
    <w:pPr>
      <w:keepNext/>
      <w:keepLines/>
      <w:spacing w:beforeLines="0" w:beforeAutospacing="0" w:afterLines="0" w:afterAutospacing="0" w:line="560" w:lineRule="exact"/>
      <w:outlineLvl w:val="2"/>
    </w:pPr>
    <w:rPr>
      <w:rFonts w:eastAsia="楷体"/>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rPr>
      <w:rFonts w:ascii="Calibri" w:hAnsi="Calibri" w:eastAsia="宋体" w:cs="Times New Roman"/>
    </w:rPr>
  </w:style>
  <w:style w:type="paragraph" w:styleId="4">
    <w:name w:val="toc 5"/>
    <w:basedOn w:val="1"/>
    <w:next w:val="1"/>
    <w:qFormat/>
    <w:uiPriority w:val="0"/>
    <w:pPr>
      <w:ind w:left="1680"/>
    </w:pPr>
    <w:rPr>
      <w:rFonts w:ascii="Calibri" w:hAnsi="Calibri" w:eastAsia="宋体" w:cs="Times New Roma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2718</Words>
  <Characters>2743</Characters>
  <Lines>0</Lines>
  <Paragraphs>0</Paragraphs>
  <TotalTime>0</TotalTime>
  <ScaleCrop>false</ScaleCrop>
  <LinksUpToDate>false</LinksUpToDate>
  <CharactersWithSpaces>2765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2022-02-23T03:24:00Z</dcterms:created>
  <dc:creator>Silen</dc:creator>
  <cp:lastModifiedBy>admin</cp:lastModifiedBy>
  <cp:lastPrinted>2022-04-14T01:25:00Z</cp:lastPrinted>
  <dcterms:modified xsi:type="dcterms:W3CDTF">2023-06-19T06:15:06Z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26E4B29DF7C849169300888AD5D0E79B</vt:lpwstr>
  </property>
</Properties>
</file>