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9" w:lineRule="exact"/>
        <w:jc w:val="both"/>
        <w:rPr>
          <w:rFonts w:ascii="宋体" w:hAnsi="宋体" w:eastAsia="方正小标宋_GBK" w:cs="方正小标宋_GBK"/>
          <w:sz w:val="44"/>
        </w:rPr>
      </w:pPr>
    </w:p>
    <w:p>
      <w:pPr>
        <w:overflowPunct w:val="0"/>
        <w:spacing w:line="720" w:lineRule="exact"/>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湖南湘江新区开发建设局（交通运输局）</w:t>
      </w:r>
    </w:p>
    <w:p>
      <w:pPr>
        <w:overflowPunct w:val="0"/>
        <w:spacing w:line="720" w:lineRule="exact"/>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2023年工作要点</w:t>
      </w:r>
    </w:p>
    <w:p>
      <w:pPr>
        <w:overflowPunct w:val="0"/>
        <w:snapToGrid w:val="0"/>
        <w:spacing w:line="566" w:lineRule="exact"/>
        <w:ind w:firstLine="640" w:firstLineChars="200"/>
        <w:rPr>
          <w:rFonts w:ascii="宋体" w:hAnsi="宋体" w:eastAsia="方正仿宋简体"/>
          <w:sz w:val="32"/>
          <w:szCs w:val="32"/>
          <w:lang w:val="en"/>
        </w:rPr>
      </w:pPr>
    </w:p>
    <w:p>
      <w:pPr>
        <w:overflowPunct w:val="0"/>
        <w:snapToGrid w:val="0"/>
        <w:spacing w:line="566" w:lineRule="exact"/>
        <w:ind w:firstLine="640" w:firstLineChars="200"/>
        <w:rPr>
          <w:rFonts w:ascii="宋体" w:hAnsi="宋体" w:eastAsia="仿宋_GB2312" w:cs="仿宋_GB2312"/>
          <w:kern w:val="24"/>
          <w:sz w:val="32"/>
          <w:szCs w:val="32"/>
        </w:rPr>
      </w:pPr>
      <w:r>
        <w:rPr>
          <w:rFonts w:hint="eastAsia" w:ascii="宋体" w:hAnsi="宋体" w:eastAsia="仿宋_GB2312" w:cs="仿宋_GB2312"/>
          <w:sz w:val="32"/>
          <w:szCs w:val="32"/>
        </w:rPr>
        <w:t>坚持以</w:t>
      </w:r>
      <w:r>
        <w:rPr>
          <w:rFonts w:hint="eastAsia" w:ascii="宋体" w:hAnsi="宋体" w:eastAsia="仿宋_GB2312" w:cs="仿宋_GB2312"/>
          <w:sz w:val="32"/>
          <w:szCs w:val="32"/>
          <w:lang w:eastAsia="zh-CN"/>
        </w:rPr>
        <w:t>习近平新时代中国特色社会主义思想</w:t>
      </w:r>
      <w:bookmarkStart w:id="0" w:name="_GoBack"/>
      <w:bookmarkEnd w:id="0"/>
      <w:r>
        <w:rPr>
          <w:rFonts w:hint="eastAsia" w:ascii="宋体" w:hAnsi="宋体" w:eastAsia="仿宋_GB2312" w:cs="仿宋_GB2312"/>
          <w:sz w:val="32"/>
          <w:szCs w:val="32"/>
        </w:rPr>
        <w:t>为指导，全面学习贯彻党的二十大精神，坚决落实习近平总书记</w:t>
      </w:r>
      <w:r>
        <w:rPr>
          <w:rFonts w:hint="eastAsia" w:ascii="宋体" w:hAnsi="宋体" w:eastAsia="仿宋_GB2312" w:cs="仿宋_GB2312"/>
          <w:sz w:val="32"/>
          <w:szCs w:val="32"/>
          <w:lang w:eastAsia="zh-CN"/>
        </w:rPr>
        <w:t>对</w:t>
      </w:r>
      <w:r>
        <w:rPr>
          <w:rFonts w:hint="eastAsia" w:ascii="宋体" w:hAnsi="宋体" w:eastAsia="仿宋_GB2312" w:cs="仿宋_GB2312"/>
          <w:sz w:val="32"/>
          <w:szCs w:val="32"/>
        </w:rPr>
        <w:t>湖南工作系列重要讲话指示精神和中央、省、市、新区决策部署，</w:t>
      </w:r>
      <w:r>
        <w:rPr>
          <w:rFonts w:hint="eastAsia" w:ascii="宋体" w:hAnsi="宋体" w:eastAsia="仿宋_GB2312" w:cs="仿宋_GB2312"/>
          <w:kern w:val="24"/>
          <w:sz w:val="32"/>
          <w:szCs w:val="32"/>
        </w:rPr>
        <w:t>聚焦“三高四新”战略定位和使命任务，奋力实施强省会战略，以“闯”的精神、“创”的劲头、“干”的作风，在“六个强化”和“六个着力”上踔厉奋发、勇毅前行，全力推进新区住建和交通事业高质量发展迈上新征程。</w:t>
      </w:r>
    </w:p>
    <w:p>
      <w:pPr>
        <w:pStyle w:val="20"/>
        <w:overflowPunct w:val="0"/>
        <w:spacing w:line="566" w:lineRule="exact"/>
        <w:ind w:firstLine="640"/>
        <w:rPr>
          <w:rFonts w:ascii="宋体" w:hAnsi="宋体" w:eastAsia="黑体" w:cs="黑体"/>
          <w:bCs/>
          <w:sz w:val="32"/>
          <w:szCs w:val="32"/>
        </w:rPr>
      </w:pPr>
      <w:r>
        <w:rPr>
          <w:rFonts w:hint="eastAsia" w:ascii="宋体" w:hAnsi="宋体" w:eastAsia="黑体" w:cs="黑体"/>
          <w:bCs/>
          <w:sz w:val="32"/>
          <w:szCs w:val="32"/>
        </w:rPr>
        <w:t>一、强化统筹协调，着力推进项目建设</w:t>
      </w:r>
    </w:p>
    <w:p>
      <w:pPr>
        <w:pStyle w:val="20"/>
        <w:overflowPunct w:val="0"/>
        <w:spacing w:line="566" w:lineRule="exact"/>
        <w:ind w:firstLine="643"/>
        <w:rPr>
          <w:rFonts w:ascii="宋体" w:hAnsi="宋体" w:eastAsia="仿宋_GB2312" w:cs="仿宋_GB2312"/>
          <w:sz w:val="32"/>
          <w:szCs w:val="32"/>
        </w:rPr>
      </w:pPr>
      <w:r>
        <w:rPr>
          <w:rFonts w:hint="eastAsia" w:ascii="宋体" w:hAnsi="宋体" w:eastAsia="楷体_GB2312" w:cs="楷体_GB2312"/>
          <w:b/>
          <w:bCs/>
          <w:sz w:val="32"/>
          <w:szCs w:val="32"/>
        </w:rPr>
        <w:t>1.</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构建项目建设新格局。</w:t>
      </w:r>
      <w:r>
        <w:rPr>
          <w:rFonts w:hint="eastAsia" w:ascii="宋体" w:hAnsi="宋体" w:eastAsia="仿宋_GB2312" w:cs="仿宋_GB2312"/>
          <w:sz w:val="32"/>
          <w:szCs w:val="32"/>
        </w:rPr>
        <w:t>对标强省会战略目标要求，以助推区域发展、服务产业升级、改善民生福祉为导向，坚持规划引领，着力构建住建交通项目建设新格局；加大统筹协调力度，有效整合资源要素，打通建设环节各难点堵点，确保项目建设提速增效；建立健全常态化重点项目调度协调、服务督查机制，持续提升项目管理服务水平，充分发挥重大项目对经济的支撑带动作用。</w:t>
      </w:r>
    </w:p>
    <w:p>
      <w:pPr>
        <w:pStyle w:val="20"/>
        <w:overflowPunct w:val="0"/>
        <w:spacing w:line="579" w:lineRule="exact"/>
        <w:ind w:firstLine="643"/>
        <w:rPr>
          <w:rFonts w:ascii="宋体" w:hAnsi="宋体" w:eastAsia="仿宋_GB2312" w:cs="仿宋_GB2312"/>
          <w:sz w:val="32"/>
          <w:szCs w:val="32"/>
        </w:rPr>
      </w:pPr>
      <w:r>
        <w:rPr>
          <w:rFonts w:hint="eastAsia" w:ascii="宋体" w:hAnsi="宋体" w:eastAsia="楷体_GB2312" w:cs="楷体_GB2312"/>
          <w:b/>
          <w:bCs/>
          <w:sz w:val="32"/>
          <w:szCs w:val="32"/>
        </w:rPr>
        <w:t>2.</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推进基础设施项目建设。</w:t>
      </w:r>
      <w:r>
        <w:rPr>
          <w:rFonts w:hint="eastAsia" w:ascii="宋体" w:hAnsi="宋体" w:eastAsia="仿宋_GB2312" w:cs="仿宋_GB2312"/>
          <w:sz w:val="32"/>
          <w:szCs w:val="32"/>
        </w:rPr>
        <w:t>启动黄桥大道南延线、国检中心、湖南湘江新区大王山水质净化厂（一期）、智能网联产业园基础设施配套等重点项目建设；提速梅浦联络线、黄桥大道南延线等骨干道路建设，打通双塘路、银安路等一批断头路、瓶颈路，加强湖南金融中心环境整治、观沙岭片区城市更新等重大项目投资引领。</w:t>
      </w:r>
    </w:p>
    <w:p>
      <w:pPr>
        <w:pStyle w:val="20"/>
        <w:overflowPunct w:val="0"/>
        <w:spacing w:line="584" w:lineRule="exact"/>
        <w:ind w:firstLine="643"/>
        <w:rPr>
          <w:rFonts w:ascii="宋体" w:hAnsi="宋体" w:eastAsia="仿宋_GB2312" w:cs="仿宋_GB2312"/>
          <w:sz w:val="32"/>
          <w:szCs w:val="32"/>
        </w:rPr>
      </w:pPr>
      <w:r>
        <w:rPr>
          <w:rFonts w:hint="eastAsia" w:ascii="宋体" w:hAnsi="宋体" w:eastAsia="楷体_GB2312" w:cs="楷体_GB2312"/>
          <w:b/>
          <w:bCs/>
          <w:sz w:val="32"/>
          <w:szCs w:val="32"/>
        </w:rPr>
        <w:t>3.</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加快农村公路路网建设。</w:t>
      </w:r>
      <w:r>
        <w:rPr>
          <w:rFonts w:hint="eastAsia" w:ascii="宋体" w:hAnsi="宋体" w:eastAsia="仿宋_GB2312" w:cs="仿宋_GB2312"/>
          <w:sz w:val="32"/>
          <w:szCs w:val="32"/>
        </w:rPr>
        <w:t>全力推进干线公路、危桥改造、农村公路大中修、旅游通景路、产业路、乡村振兴战略通组公路等项目建设，新建提质农村道路160公里，新改建农村桥梁6座；着力打造一条最美农村公路，争创省级最美农村公路。</w:t>
      </w:r>
    </w:p>
    <w:p>
      <w:pPr>
        <w:overflowPunct w:val="0"/>
        <w:spacing w:line="584" w:lineRule="exact"/>
        <w:ind w:firstLine="643" w:firstLineChars="200"/>
        <w:rPr>
          <w:rFonts w:ascii="宋体" w:hAnsi="宋体" w:eastAsia="仿宋_GB2312" w:cs="仿宋_GB2312"/>
          <w:sz w:val="32"/>
          <w:szCs w:val="32"/>
        </w:rPr>
      </w:pPr>
      <w:r>
        <w:rPr>
          <w:rFonts w:hint="eastAsia" w:ascii="宋体" w:hAnsi="宋体" w:eastAsia="楷体_GB2312" w:cs="楷体_GB2312"/>
          <w:b/>
          <w:bCs/>
          <w:sz w:val="32"/>
          <w:szCs w:val="32"/>
        </w:rPr>
        <w:t>4.</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抓好民生实事项目建设。</w:t>
      </w:r>
      <w:r>
        <w:rPr>
          <w:rFonts w:hint="eastAsia" w:ascii="宋体" w:hAnsi="宋体" w:eastAsia="仿宋_GB2312" w:cs="仿宋_GB2312"/>
          <w:sz w:val="32"/>
          <w:szCs w:val="32"/>
        </w:rPr>
        <w:t>积极支持</w:t>
      </w:r>
      <w:r>
        <w:rPr>
          <w:rFonts w:hint="eastAsia" w:ascii="宋体" w:hAnsi="宋体" w:eastAsia="仿宋_GB2312" w:cs="仿宋_GB2312"/>
          <w:sz w:val="32"/>
          <w:szCs w:val="32"/>
          <w:lang w:eastAsia="zh-TW"/>
        </w:rPr>
        <w:t>观沙岭城市更新</w:t>
      </w:r>
      <w:r>
        <w:rPr>
          <w:rFonts w:hint="eastAsia" w:ascii="宋体" w:hAnsi="宋体" w:eastAsia="仿宋_GB2312" w:cs="仿宋_GB2312"/>
          <w:sz w:val="32"/>
          <w:szCs w:val="32"/>
        </w:rPr>
        <w:t>和</w:t>
      </w:r>
      <w:r>
        <w:rPr>
          <w:rFonts w:hint="eastAsia" w:ascii="宋体" w:hAnsi="宋体" w:eastAsia="仿宋_GB2312" w:cs="仿宋_GB2312"/>
          <w:sz w:val="32"/>
          <w:szCs w:val="32"/>
          <w:lang w:eastAsia="zh-TW"/>
        </w:rPr>
        <w:t>新湘雅健康城城市更新</w:t>
      </w:r>
      <w:r>
        <w:rPr>
          <w:rFonts w:hint="eastAsia" w:ascii="宋体" w:hAnsi="宋体" w:eastAsia="仿宋_GB2312" w:cs="仿宋_GB2312"/>
          <w:sz w:val="32"/>
          <w:szCs w:val="32"/>
        </w:rPr>
        <w:t>，开展湖大超算中心周边有机更新项目前期工作；启动80个老旧小区改造；完成既有多层住宅增设电梯备案120台以上；启动矿山研究院宿舍和长沙铸造厂宿舍危旧房改造工程7栋；完成省厅6个270户棚改任务，启动观沙岭村城中村改造；完成农民安置房小区公共安全提升工程项目50个；启动既有小区品质提升改造20个，新增停车泊位3.6万个，新建停车场20个。创建7个AA型“绿色完整”居住社区</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4个AAA型“绿色完整”居住社区；加强历史文化名城保护，完善名城保护管理体系，做好年度名城保护专项评估工作，推进历史文化名镇名村和街区保护规划编制。</w:t>
      </w:r>
    </w:p>
    <w:p>
      <w:pPr>
        <w:pStyle w:val="20"/>
        <w:overflowPunct w:val="0"/>
        <w:spacing w:line="584" w:lineRule="exact"/>
        <w:ind w:firstLine="640"/>
        <w:rPr>
          <w:rFonts w:ascii="宋体" w:hAnsi="宋体" w:eastAsia="黑体" w:cs="黑体"/>
          <w:bCs/>
          <w:sz w:val="32"/>
          <w:szCs w:val="32"/>
        </w:rPr>
      </w:pPr>
      <w:r>
        <w:rPr>
          <w:rFonts w:hint="eastAsia" w:ascii="宋体" w:hAnsi="宋体" w:eastAsia="黑体" w:cs="黑体"/>
          <w:bCs/>
          <w:sz w:val="32"/>
          <w:szCs w:val="32"/>
        </w:rPr>
        <w:t>二、强化宗旨意识，着力改善民生福祉</w:t>
      </w:r>
    </w:p>
    <w:p>
      <w:pPr>
        <w:overflowPunct w:val="0"/>
        <w:spacing w:line="584" w:lineRule="exact"/>
        <w:ind w:firstLine="643" w:firstLineChars="200"/>
        <w:rPr>
          <w:rFonts w:hint="eastAsia" w:ascii="宋体" w:hAnsi="宋体" w:eastAsia="仿宋_GB2312" w:cs="仿宋_GB2312"/>
          <w:sz w:val="32"/>
          <w:szCs w:val="32"/>
        </w:rPr>
      </w:pPr>
      <w:r>
        <w:rPr>
          <w:rFonts w:hint="eastAsia" w:ascii="宋体" w:hAnsi="宋体" w:eastAsia="楷体_GB2312" w:cs="楷体_GB2312"/>
          <w:b/>
          <w:bCs/>
          <w:sz w:val="32"/>
          <w:szCs w:val="32"/>
        </w:rPr>
        <w:t>5.</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加强住房保障工作。</w:t>
      </w:r>
      <w:r>
        <w:rPr>
          <w:rFonts w:hint="eastAsia" w:ascii="宋体" w:hAnsi="宋体" w:eastAsia="仿宋_GB2312" w:cs="仿宋_GB2312"/>
          <w:sz w:val="32"/>
          <w:szCs w:val="32"/>
        </w:rPr>
        <w:t>紧盯“十四五”期间筹建2500套公租房和筹集30000套保障性租赁住房目标任务，督促和监督2023年度7574套保障性租赁住房完善相关手续，并组织联合评审；完成2023年1200户公租房租赁补贴（含公益性岗位）审批和对应补贴资金发放；回应民生关切，积极推进职工住房补贴工作；完善住房保障体系，有序推进公租房智能化和保障性租赁住房管理工作。</w:t>
      </w:r>
    </w:p>
    <w:p>
      <w:pPr>
        <w:overflowPunct w:val="0"/>
        <w:spacing w:line="584" w:lineRule="exact"/>
        <w:ind w:firstLine="643" w:firstLineChars="200"/>
        <w:rPr>
          <w:rFonts w:hint="eastAsia" w:ascii="宋体" w:hAnsi="宋体" w:eastAsia="仿宋_GB2312" w:cs="仿宋_GB2312"/>
          <w:sz w:val="32"/>
          <w:szCs w:val="32"/>
        </w:rPr>
      </w:pPr>
      <w:r>
        <w:rPr>
          <w:rFonts w:hint="eastAsia" w:ascii="宋体" w:hAnsi="宋体" w:eastAsia="楷体_GB2312" w:cs="楷体_GB2312"/>
          <w:b/>
          <w:bCs/>
          <w:sz w:val="32"/>
          <w:szCs w:val="32"/>
        </w:rPr>
        <w:t>6.</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推动供排水管理提质增效。</w:t>
      </w:r>
      <w:r>
        <w:rPr>
          <w:rFonts w:hint="eastAsia" w:ascii="宋体" w:hAnsi="宋体" w:eastAsia="仿宋_GB2312" w:cs="仿宋_GB2312"/>
          <w:sz w:val="32"/>
          <w:szCs w:val="32"/>
        </w:rPr>
        <w:t>统筹推进赵洲港汇水区、洋湖片区、含浦片区雨污分流整治工程建设；编制新区排水实施规划，优化新区纳污分区、构建排水实施规划体系，逐步形成排水系统“一张图”并完善排水管网信息录入机制；积极探索新区排水管理体制机制改革。固化新区供水设施建设计划，确保各项重点供水设施建设项目顺利实施；联动推进新区水改与供水管网更新改造，实施20个住宅小区二次供水设施户表改造，进一步拓宽工作思路方法，打造水改民生工程示范亮点。</w:t>
      </w:r>
    </w:p>
    <w:p>
      <w:pPr>
        <w:overflowPunct w:val="0"/>
        <w:spacing w:line="584" w:lineRule="exact"/>
        <w:ind w:firstLine="643" w:firstLineChars="200"/>
        <w:rPr>
          <w:rFonts w:hint="eastAsia" w:ascii="宋体" w:hAnsi="宋体" w:eastAsia="仿宋_GB2312" w:cs="仿宋_GB2312"/>
          <w:sz w:val="32"/>
          <w:szCs w:val="32"/>
        </w:rPr>
      </w:pPr>
      <w:r>
        <w:rPr>
          <w:rFonts w:hint="eastAsia" w:ascii="宋体" w:hAnsi="宋体" w:eastAsia="楷体_GB2312" w:cs="楷体_GB2312"/>
          <w:b/>
          <w:bCs/>
          <w:sz w:val="32"/>
          <w:szCs w:val="32"/>
        </w:rPr>
        <w:t>7.</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强化公交保障惠民生。</w:t>
      </w:r>
      <w:r>
        <w:rPr>
          <w:rFonts w:hint="eastAsia" w:ascii="宋体" w:hAnsi="宋体" w:eastAsia="仿宋_GB2312" w:cs="仿宋_GB2312"/>
          <w:sz w:val="32"/>
          <w:szCs w:val="32"/>
        </w:rPr>
        <w:t>系统梳理新区公交网络，加快建设市民满意、保障有力的公交都市；贯彻“大交通”理念，推进新区轨道交通和地面公交良好融合，全面优化地面公交线网，形成公共交通换乘“微枢纽”，打通公交地铁站接驳“最后一公里”；紧贴新区发展和民生需求，重点优化景嘉微、九芝堂等园区周边公交路网；深入推进城乡公交一体化，逐步完善“村村通”公交与城市公交微循环，提升村民绿色出行幸福感。</w:t>
      </w:r>
    </w:p>
    <w:p>
      <w:pPr>
        <w:overflowPunct w:val="0"/>
        <w:spacing w:line="584" w:lineRule="exact"/>
        <w:ind w:firstLine="643" w:firstLineChars="200"/>
        <w:rPr>
          <w:rFonts w:ascii="宋体" w:hAnsi="宋体" w:eastAsia="仿宋_GB2312" w:cs="仿宋_GB2312"/>
          <w:sz w:val="32"/>
          <w:szCs w:val="32"/>
        </w:rPr>
      </w:pPr>
      <w:r>
        <w:rPr>
          <w:rFonts w:hint="eastAsia" w:ascii="宋体" w:hAnsi="宋体" w:eastAsia="楷体_GB2312" w:cs="楷体_GB2312"/>
          <w:b/>
          <w:bCs/>
          <w:sz w:val="32"/>
          <w:szCs w:val="32"/>
        </w:rPr>
        <w:t>8.</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打好工地扬尘污染防治攻坚战。</w:t>
      </w:r>
      <w:r>
        <w:rPr>
          <w:rFonts w:hint="eastAsia" w:ascii="宋体" w:hAnsi="宋体" w:eastAsia="仿宋_GB2312" w:cs="仿宋_GB2312"/>
          <w:sz w:val="32"/>
          <w:szCs w:val="32"/>
          <w:lang w:val="zh-TW"/>
        </w:rPr>
        <w:t>严格实施新区建筑工地扬尘污染管控举措，狠抓扬尘污染防治“8个100%”，</w:t>
      </w:r>
      <w:r>
        <w:rPr>
          <w:rFonts w:hint="eastAsia" w:ascii="宋体" w:hAnsi="宋体" w:eastAsia="仿宋_GB2312" w:cs="仿宋_GB2312"/>
          <w:sz w:val="32"/>
          <w:szCs w:val="32"/>
        </w:rPr>
        <w:t>强化监管执法，压实企业主体责任，</w:t>
      </w:r>
      <w:r>
        <w:rPr>
          <w:rFonts w:hint="eastAsia" w:ascii="宋体" w:hAnsi="宋体" w:eastAsia="仿宋_GB2312" w:cs="仿宋_GB2312"/>
          <w:kern w:val="0"/>
          <w:sz w:val="32"/>
          <w:szCs w:val="32"/>
          <w:lang w:bidi="ar"/>
        </w:rPr>
        <w:t>加强新区在建工地扬尘污染防治一体化管理平台建设，</w:t>
      </w:r>
      <w:r>
        <w:rPr>
          <w:rFonts w:hint="eastAsia" w:ascii="宋体" w:hAnsi="宋体" w:eastAsia="仿宋_GB2312" w:cs="仿宋_GB2312"/>
          <w:sz w:val="32"/>
          <w:szCs w:val="32"/>
        </w:rPr>
        <w:t>促进空气质量持续改善</w:t>
      </w:r>
      <w:r>
        <w:rPr>
          <w:rFonts w:hint="eastAsia" w:ascii="宋体" w:hAnsi="宋体" w:eastAsia="仿宋_GB2312" w:cs="仿宋_GB2312"/>
          <w:kern w:val="0"/>
          <w:sz w:val="32"/>
          <w:szCs w:val="32"/>
          <w:lang w:bidi="ar"/>
        </w:rPr>
        <w:t>。</w:t>
      </w:r>
    </w:p>
    <w:p>
      <w:pPr>
        <w:pStyle w:val="20"/>
        <w:overflowPunct w:val="0"/>
        <w:spacing w:line="584" w:lineRule="exact"/>
        <w:ind w:firstLine="640"/>
        <w:rPr>
          <w:rFonts w:ascii="宋体" w:hAnsi="宋体" w:eastAsia="黑体" w:cs="黑体"/>
          <w:bCs/>
          <w:sz w:val="32"/>
          <w:szCs w:val="32"/>
        </w:rPr>
      </w:pPr>
      <w:r>
        <w:rPr>
          <w:rFonts w:hint="eastAsia" w:ascii="宋体" w:hAnsi="宋体" w:eastAsia="黑体" w:cs="黑体"/>
          <w:bCs/>
          <w:sz w:val="32"/>
          <w:szCs w:val="32"/>
        </w:rPr>
        <w:t>三、强化守正创新，着力促进行业发展</w:t>
      </w:r>
    </w:p>
    <w:p>
      <w:pPr>
        <w:overflowPunct w:val="0"/>
        <w:spacing w:line="584" w:lineRule="exact"/>
        <w:ind w:firstLine="643" w:firstLineChars="200"/>
        <w:rPr>
          <w:rFonts w:hint="eastAsia" w:ascii="宋体" w:hAnsi="宋体" w:eastAsia="仿宋_GB2312" w:cs="仿宋_GB2312"/>
          <w:sz w:val="32"/>
          <w:szCs w:val="32"/>
        </w:rPr>
      </w:pPr>
      <w:r>
        <w:rPr>
          <w:rFonts w:hint="eastAsia" w:ascii="宋体" w:hAnsi="宋体" w:eastAsia="楷体_GB2312" w:cs="楷体_GB2312"/>
          <w:b/>
          <w:bCs/>
          <w:sz w:val="32"/>
          <w:szCs w:val="32"/>
        </w:rPr>
        <w:t>9.</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促进房地产市场平稳健康发展。</w:t>
      </w:r>
      <w:r>
        <w:rPr>
          <w:rFonts w:hint="eastAsia" w:ascii="宋体" w:hAnsi="宋体" w:eastAsia="仿宋_GB2312" w:cs="仿宋_GB2312"/>
          <w:sz w:val="32"/>
          <w:szCs w:val="32"/>
        </w:rPr>
        <w:t>开展新区房地产调控政策优化研究；组织协调土地市场与房屋市场有机协调联动，力争刚需有保障、改需有市场，通过优质地块出让激活土地市场，促进房屋市场供应和成交规模有序增长；加快推进已出让地块开工和上市销售，统筹项目开盘预售，实现高低搭配，有序入市；盘活存量商业地产，促进楼宇经济提质增效；坚持“房住不炒”，坚持稳供应、稳房价、稳预期，保持房地产政策稳定性和延续性，做好风险楼盘管控，防范和化解市场风险。全年力争完成商品房销售450万平方米、销售金额500亿元以上。</w:t>
      </w:r>
    </w:p>
    <w:p>
      <w:pPr>
        <w:overflowPunct w:val="0"/>
        <w:spacing w:line="584" w:lineRule="exact"/>
        <w:ind w:firstLine="643" w:firstLineChars="200"/>
      </w:pPr>
      <w:r>
        <w:rPr>
          <w:rFonts w:hint="eastAsia" w:ascii="宋体" w:hAnsi="宋体" w:eastAsia="楷体_GB2312" w:cs="楷体_GB2312"/>
          <w:b/>
          <w:bCs/>
          <w:sz w:val="32"/>
          <w:szCs w:val="32"/>
        </w:rPr>
        <w:t>10.</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支持服务建安产业发展。</w:t>
      </w:r>
      <w:r>
        <w:rPr>
          <w:rFonts w:hint="eastAsia" w:ascii="宋体" w:hAnsi="宋体" w:eastAsia="仿宋_GB2312" w:cs="仿宋_GB2312"/>
          <w:sz w:val="32"/>
          <w:szCs w:val="32"/>
        </w:rPr>
        <w:t>鼓励和支持企业增项水利水电、环保、隧道、桥梁等高附加值行业资质，提高市场竞争力；着力提升我区建安企业在本地市场的占有率；</w:t>
      </w:r>
      <w:r>
        <w:rPr>
          <w:rFonts w:hint="eastAsia" w:ascii="宋体" w:hAnsi="宋体" w:eastAsia="仿宋_GB2312" w:cs="仿宋_GB2312"/>
          <w:kern w:val="0"/>
          <w:sz w:val="32"/>
          <w:szCs w:val="32"/>
          <w:lang w:bidi="ar"/>
        </w:rPr>
        <w:t>加快出台《湖南湘江新区促进建筑业健康发展</w:t>
      </w:r>
      <w:r>
        <w:rPr>
          <w:rFonts w:hint="eastAsia" w:ascii="宋体" w:hAnsi="宋体" w:eastAsia="仿宋_GB2312" w:cs="仿宋_GB2312"/>
          <w:sz w:val="32"/>
          <w:szCs w:val="32"/>
        </w:rPr>
        <w:t>若干</w:t>
      </w:r>
      <w:r>
        <w:rPr>
          <w:rFonts w:hint="eastAsia" w:ascii="宋体" w:hAnsi="宋体" w:eastAsia="仿宋_GB2312" w:cs="仿宋_GB2312"/>
          <w:kern w:val="0"/>
          <w:sz w:val="32"/>
          <w:szCs w:val="32"/>
          <w:lang w:bidi="ar"/>
        </w:rPr>
        <w:t>政策》，支持骨干企业发展</w:t>
      </w:r>
      <w:r>
        <w:rPr>
          <w:rFonts w:hint="eastAsia" w:ascii="宋体" w:hAnsi="宋体" w:eastAsia="仿宋_GB2312" w:cs="仿宋_GB2312"/>
          <w:sz w:val="32"/>
          <w:szCs w:val="32"/>
        </w:rPr>
        <w:t>；</w:t>
      </w:r>
      <w:r>
        <w:rPr>
          <w:rFonts w:hint="eastAsia" w:ascii="宋体" w:hAnsi="宋体" w:eastAsia="仿宋_GB2312" w:cs="仿宋_GB2312"/>
          <w:kern w:val="0"/>
          <w:sz w:val="32"/>
          <w:szCs w:val="32"/>
          <w:lang w:bidi="ar"/>
        </w:rPr>
        <w:t>实施强企战略和品牌战略，鼓励企业争先创优，加大技术革新力度；优化营商环境，吸引外地优质建安企业注册落户新区，打造强省会核心增长极。</w:t>
      </w:r>
    </w:p>
    <w:p>
      <w:pPr>
        <w:pStyle w:val="20"/>
        <w:overflowPunct w:val="0"/>
        <w:spacing w:line="584" w:lineRule="exact"/>
        <w:ind w:firstLine="640"/>
        <w:rPr>
          <w:rFonts w:ascii="宋体" w:hAnsi="宋体" w:eastAsia="黑体" w:cs="黑体"/>
          <w:bCs/>
          <w:sz w:val="32"/>
          <w:szCs w:val="32"/>
        </w:rPr>
      </w:pPr>
      <w:r>
        <w:rPr>
          <w:rFonts w:hint="eastAsia" w:ascii="宋体" w:hAnsi="宋体" w:eastAsia="黑体" w:cs="黑体"/>
          <w:bCs/>
          <w:sz w:val="32"/>
          <w:szCs w:val="32"/>
        </w:rPr>
        <w:t>四、强化服务理念，着力提升管理水平</w:t>
      </w:r>
    </w:p>
    <w:p>
      <w:pPr>
        <w:overflowPunct w:val="0"/>
        <w:spacing w:line="584" w:lineRule="exact"/>
        <w:ind w:firstLine="643" w:firstLineChars="200"/>
        <w:rPr>
          <w:rFonts w:hint="eastAsia" w:ascii="宋体" w:hAnsi="宋体" w:eastAsia="仿宋_GB2312" w:cs="仿宋_GB2312"/>
          <w:sz w:val="32"/>
          <w:szCs w:val="32"/>
        </w:rPr>
      </w:pPr>
      <w:r>
        <w:rPr>
          <w:rFonts w:hint="eastAsia" w:ascii="宋体" w:hAnsi="宋体" w:eastAsia="楷体_GB2312" w:cs="楷体_GB2312"/>
          <w:b/>
          <w:bCs/>
          <w:sz w:val="32"/>
          <w:szCs w:val="32"/>
        </w:rPr>
        <w:t>11.</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全面承接省市赋权事项。</w:t>
      </w:r>
      <w:r>
        <w:rPr>
          <w:rFonts w:hint="eastAsia" w:ascii="宋体" w:hAnsi="宋体" w:eastAsia="仿宋_GB2312" w:cs="仿宋_GB2312"/>
          <w:sz w:val="32"/>
          <w:szCs w:val="32"/>
        </w:rPr>
        <w:t>按照“应接尽接”原则，在已承接省级5项赋权及市政府第一批66项赋权基础上，全面承接第二批市级赋权（包括第一批未赋权的依申请类服务事项）；全面梳理新承接的省市赋权清单以及既有区级权限清单，编制依申请类服务事项的办事指南及办理流程，加强与省、市部门对接协调，持续推进“减环节、减资料、减时限”审批服务改革，进一步提升行政审批与政务服务水平；利用新区创新平台优势，持续推进新区工程建设项目审批制度改革，打造良好营商环境。</w:t>
      </w:r>
    </w:p>
    <w:p>
      <w:pPr>
        <w:overflowPunct w:val="0"/>
        <w:spacing w:line="584" w:lineRule="exact"/>
        <w:ind w:firstLine="643" w:firstLineChars="200"/>
        <w:rPr>
          <w:rFonts w:hint="eastAsia" w:ascii="宋体" w:hAnsi="宋体" w:eastAsia="仿宋_GB2312" w:cs="仿宋_GB2312"/>
          <w:sz w:val="32"/>
          <w:szCs w:val="32"/>
        </w:rPr>
      </w:pPr>
      <w:r>
        <w:rPr>
          <w:rFonts w:hint="eastAsia" w:ascii="宋体" w:hAnsi="宋体" w:eastAsia="楷体_GB2312" w:cs="楷体_GB2312"/>
          <w:b/>
          <w:bCs/>
          <w:sz w:val="32"/>
          <w:szCs w:val="32"/>
        </w:rPr>
        <w:t>12.</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提升物业管理服务水平。</w:t>
      </w:r>
      <w:r>
        <w:rPr>
          <w:rFonts w:hint="eastAsia" w:ascii="宋体" w:hAnsi="宋体" w:eastAsia="仿宋_GB2312" w:cs="仿宋_GB2312"/>
          <w:sz w:val="32"/>
          <w:szCs w:val="32"/>
        </w:rPr>
        <w:t>加快出台《关于加强和改进物业管理工作的实施意见》，将物业管理融入基层社会治理体系，促进物业行业高质量发展。深化小区党组织、业委会、物业公司“三方共治”，做实网格化管理服务，激发志愿者、楼栋长主体积极性，建设文明小区和社会治理共同体，实现小区事大家管。建立健全新建小区物业公司首聘机制，设立小区物业服务“红黑榜”，对列入黑榜或存在严重不良行为的物业服务企业限制其参与新区物业招投标。</w:t>
      </w:r>
    </w:p>
    <w:p>
      <w:pPr>
        <w:overflowPunct w:val="0"/>
        <w:spacing w:line="584" w:lineRule="exact"/>
        <w:ind w:firstLine="643" w:firstLineChars="200"/>
        <w:rPr>
          <w:rFonts w:ascii="宋体" w:hAnsi="宋体" w:eastAsia="仿宋_GB2312" w:cs="仿宋_GB2312"/>
          <w:kern w:val="0"/>
          <w:sz w:val="32"/>
          <w:szCs w:val="32"/>
          <w:lang w:bidi="ar"/>
        </w:rPr>
      </w:pPr>
      <w:r>
        <w:rPr>
          <w:rFonts w:hint="eastAsia" w:ascii="宋体" w:hAnsi="宋体" w:eastAsia="楷体_GB2312" w:cs="楷体_GB2312"/>
          <w:b/>
          <w:bCs/>
          <w:sz w:val="32"/>
          <w:szCs w:val="32"/>
        </w:rPr>
        <w:t>13.</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强化公路养护管理。</w:t>
      </w:r>
      <w:r>
        <w:rPr>
          <w:rFonts w:hint="eastAsia" w:ascii="宋体" w:hAnsi="宋体" w:eastAsia="仿宋_GB2312" w:cs="仿宋_GB2312"/>
          <w:sz w:val="32"/>
          <w:szCs w:val="32"/>
        </w:rPr>
        <w:t>积极争创全国“四好农村路”示范县；研究制定新区路长制工作实施方案，完善公路养护管理体制；加快推进全区公路安全隐患全面摸排工作，启动全区公路安全隐患三年整治行动，力争隐患清零；加强对农村公路日常养护工作监督检查；对公路建设人员和养护人员开展知识技能培训，提升专业能力，打造专业队伍，争取在2023年度农村公路养护管理考评中进入全省前十。</w:t>
      </w:r>
    </w:p>
    <w:p>
      <w:pPr>
        <w:overflowPunct w:val="0"/>
        <w:spacing w:line="584" w:lineRule="exact"/>
        <w:ind w:firstLine="643" w:firstLineChars="200"/>
        <w:rPr>
          <w:rFonts w:ascii="宋体" w:hAnsi="宋体" w:eastAsia="仿宋_GB2312" w:cs="仿宋_GB2312"/>
          <w:sz w:val="32"/>
          <w:szCs w:val="32"/>
        </w:rPr>
      </w:pPr>
      <w:r>
        <w:rPr>
          <w:rFonts w:hint="eastAsia" w:ascii="宋体" w:hAnsi="宋体" w:eastAsia="楷体_GB2312" w:cs="楷体_GB2312"/>
          <w:b/>
          <w:bCs/>
          <w:sz w:val="32"/>
          <w:szCs w:val="32"/>
        </w:rPr>
        <w:t>14.</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加强工程建设全程监管。</w:t>
      </w:r>
      <w:r>
        <w:rPr>
          <w:rFonts w:hint="eastAsia" w:ascii="宋体" w:hAnsi="宋体" w:eastAsia="仿宋_GB2312" w:cs="仿宋_GB2312"/>
          <w:sz w:val="32"/>
          <w:szCs w:val="32"/>
        </w:rPr>
        <w:t>开展新区勘察设计质量专项检查，提高勘察设计质量水平；推进建筑节能、绿色建筑、装配式建筑等政策和相关技术落实；根据新区修订后的政府投资管理办法，修订完善政府投资工程变更管理制度。出台《湖南湘江新区政府投资工程建设招标投标管理实施细则》，进一步规范政府投资项目招投标监管；制定《湖南湘江新区建设工程项目招标代理机构目录管理办法》，强化对招标代理机构考评，规范招标代理活动；制定《湖南湘江新区建筑市场标后稽查工作实施细则》，加强标后稽查，强化全过程监管。探索新区城建档案管理模式，全面承接城建档案验收、利用、查询等事项，进一步提升城建档案管理水平。</w:t>
      </w:r>
    </w:p>
    <w:p>
      <w:pPr>
        <w:pStyle w:val="20"/>
        <w:overflowPunct w:val="0"/>
        <w:spacing w:line="584" w:lineRule="exact"/>
        <w:ind w:firstLine="640"/>
        <w:rPr>
          <w:rFonts w:ascii="宋体" w:hAnsi="宋体" w:eastAsia="黑体" w:cs="黑体"/>
          <w:bCs/>
          <w:sz w:val="32"/>
          <w:szCs w:val="32"/>
        </w:rPr>
      </w:pPr>
      <w:r>
        <w:rPr>
          <w:rFonts w:hint="eastAsia" w:ascii="宋体" w:hAnsi="宋体" w:eastAsia="黑体" w:cs="黑体"/>
          <w:bCs/>
          <w:sz w:val="32"/>
          <w:szCs w:val="32"/>
        </w:rPr>
        <w:t>五、强化底线思维，着力压实安全责任</w:t>
      </w:r>
    </w:p>
    <w:p>
      <w:pPr>
        <w:overflowPunct w:val="0"/>
        <w:spacing w:line="584" w:lineRule="exact"/>
        <w:ind w:firstLine="643" w:firstLineChars="200"/>
        <w:rPr>
          <w:rFonts w:ascii="宋体" w:hAnsi="宋体" w:eastAsia="仿宋_GB2312" w:cs="仿宋_GB2312"/>
          <w:sz w:val="32"/>
          <w:szCs w:val="32"/>
        </w:rPr>
      </w:pPr>
      <w:r>
        <w:rPr>
          <w:rFonts w:hint="eastAsia" w:ascii="宋体" w:hAnsi="宋体" w:eastAsia="楷体_GB2312" w:cs="楷体_GB2312"/>
          <w:b/>
          <w:bCs/>
          <w:sz w:val="32"/>
          <w:szCs w:val="32"/>
        </w:rPr>
        <w:t>15.</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守牢工程质量安全底线。</w:t>
      </w:r>
      <w:r>
        <w:rPr>
          <w:rFonts w:hint="eastAsia" w:ascii="宋体" w:hAnsi="宋体" w:eastAsia="仿宋_GB2312" w:cs="仿宋_GB2312"/>
          <w:sz w:val="32"/>
          <w:szCs w:val="32"/>
          <w:lang w:bidi="zh-TW"/>
        </w:rPr>
        <w:t>深入推进房屋</w:t>
      </w:r>
      <w:r>
        <w:rPr>
          <w:rFonts w:hint="eastAsia" w:ascii="宋体" w:hAnsi="宋体" w:eastAsia="仿宋_GB2312" w:cs="仿宋_GB2312"/>
          <w:sz w:val="32"/>
          <w:szCs w:val="32"/>
          <w:lang w:eastAsia="zh-CN" w:bidi="zh-TW"/>
        </w:rPr>
        <w:t>建筑和</w:t>
      </w:r>
      <w:r>
        <w:rPr>
          <w:rFonts w:hint="eastAsia" w:ascii="宋体" w:hAnsi="宋体" w:eastAsia="仿宋_GB2312" w:cs="仿宋_GB2312"/>
          <w:sz w:val="32"/>
          <w:szCs w:val="32"/>
          <w:lang w:bidi="zh-TW"/>
        </w:rPr>
        <w:t>市政工程安全生产治理行动；加强与属地街镇联动，推行“网格化”监督管理；通过购买第三方服务，加强建筑起重机械安全监督检查、消防验收、项目整体质量安全隐患排查；加强新区范围内混凝土搅拌站、预拌砂浆、水稳、沥青搅拌站及检测机构管理工作；严格执法处罚，确保按时结案、处置到位</w:t>
      </w:r>
      <w:r>
        <w:rPr>
          <w:rFonts w:hint="eastAsia" w:ascii="宋体" w:hAnsi="宋体" w:eastAsia="仿宋_GB2312" w:cs="仿宋_GB2312"/>
          <w:sz w:val="32"/>
          <w:szCs w:val="32"/>
          <w:lang w:eastAsia="zh-CN" w:bidi="zh-TW"/>
        </w:rPr>
        <w:t>。</w:t>
      </w:r>
      <w:r>
        <w:rPr>
          <w:rFonts w:hint="eastAsia" w:ascii="宋体" w:hAnsi="宋体" w:eastAsia="仿宋_GB2312" w:cs="仿宋_GB2312"/>
          <w:sz w:val="32"/>
          <w:szCs w:val="32"/>
          <w:lang w:bidi="zh-TW"/>
        </w:rPr>
        <w:t>提升在建工程质量管理水平，在建受监项目力争2023年完成省优质工程10个</w:t>
      </w:r>
      <w:r>
        <w:rPr>
          <w:rFonts w:hint="eastAsia" w:ascii="宋体" w:hAnsi="宋体" w:eastAsia="仿宋_GB2312" w:cs="仿宋_GB2312"/>
          <w:sz w:val="32"/>
          <w:szCs w:val="32"/>
          <w:lang w:eastAsia="zh-CN" w:bidi="zh-TW"/>
        </w:rPr>
        <w:t>、</w:t>
      </w:r>
      <w:r>
        <w:rPr>
          <w:rFonts w:hint="eastAsia" w:ascii="宋体" w:hAnsi="宋体" w:eastAsia="仿宋_GB2312" w:cs="仿宋_GB2312"/>
          <w:sz w:val="32"/>
          <w:szCs w:val="32"/>
          <w:lang w:bidi="zh-TW"/>
        </w:rPr>
        <w:t>芙蓉奖5个</w:t>
      </w:r>
      <w:r>
        <w:rPr>
          <w:rFonts w:hint="eastAsia" w:ascii="宋体" w:hAnsi="宋体" w:eastAsia="仿宋_GB2312" w:cs="仿宋_GB2312"/>
          <w:sz w:val="32"/>
          <w:szCs w:val="32"/>
          <w:lang w:eastAsia="zh-CN" w:bidi="zh-TW"/>
        </w:rPr>
        <w:t>、</w:t>
      </w:r>
      <w:r>
        <w:rPr>
          <w:rFonts w:hint="eastAsia" w:ascii="宋体" w:hAnsi="宋体" w:eastAsia="仿宋_GB2312" w:cs="仿宋_GB2312"/>
          <w:sz w:val="32"/>
          <w:szCs w:val="32"/>
          <w:lang w:bidi="zh-TW"/>
        </w:rPr>
        <w:t>鲁班奖1个创优目标。</w:t>
      </w:r>
    </w:p>
    <w:p>
      <w:pPr>
        <w:overflowPunct w:val="0"/>
        <w:spacing w:line="584" w:lineRule="exact"/>
        <w:ind w:firstLine="643" w:firstLineChars="200"/>
        <w:rPr>
          <w:rFonts w:ascii="宋体" w:hAnsi="宋体" w:eastAsia="仿宋_GB2312" w:cs="仿宋_GB2312"/>
          <w:sz w:val="32"/>
          <w:szCs w:val="32"/>
          <w:lang w:bidi="zh-TW"/>
        </w:rPr>
      </w:pPr>
      <w:r>
        <w:rPr>
          <w:rFonts w:hint="eastAsia" w:ascii="宋体" w:hAnsi="宋体" w:eastAsia="楷体_GB2312" w:cs="楷体_GB2312"/>
          <w:b/>
          <w:bCs/>
          <w:sz w:val="32"/>
          <w:szCs w:val="32"/>
        </w:rPr>
        <w:t>16.</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加强居民自建房安全管理。</w:t>
      </w:r>
      <w:r>
        <w:rPr>
          <w:rFonts w:hint="eastAsia" w:ascii="宋体" w:hAnsi="宋体" w:eastAsia="仿宋_GB2312" w:cs="仿宋_GB2312"/>
          <w:kern w:val="0"/>
          <w:sz w:val="32"/>
          <w:szCs w:val="32"/>
          <w:lang w:bidi="ar"/>
        </w:rPr>
        <w:t>将自建房安全专项整治与“两违”清查有机结合，加大隐患问题排查整改力度；</w:t>
      </w:r>
      <w:r>
        <w:rPr>
          <w:rFonts w:hint="eastAsia" w:ascii="宋体" w:hAnsi="宋体" w:eastAsia="仿宋_GB2312" w:cs="仿宋_GB2312"/>
          <w:sz w:val="32"/>
          <w:szCs w:val="32"/>
          <w:lang w:bidi="zh-TW"/>
        </w:rPr>
        <w:t>出台《湖南湘江新区自建房建设审批监管指导意见》《湘江新区自建房常态化自查、排查、抽查工作方案》，成立</w:t>
      </w:r>
      <w:r>
        <w:rPr>
          <w:rFonts w:hint="eastAsia" w:ascii="宋体" w:hAnsi="宋体" w:eastAsia="仿宋_GB2312" w:cs="仿宋_GB2312"/>
          <w:sz w:val="32"/>
          <w:szCs w:val="32"/>
          <w:lang w:eastAsia="zh-CN" w:bidi="zh-TW"/>
        </w:rPr>
        <w:t>新区</w:t>
      </w:r>
      <w:r>
        <w:rPr>
          <w:rFonts w:hint="eastAsia" w:ascii="宋体" w:hAnsi="宋体" w:eastAsia="仿宋_GB2312" w:cs="仿宋_GB2312"/>
          <w:sz w:val="32"/>
          <w:szCs w:val="32"/>
          <w:lang w:bidi="zh-TW"/>
        </w:rPr>
        <w:t>房屋安全管理中心，压实街镇主体责任，完善自建房</w:t>
      </w:r>
      <w:r>
        <w:rPr>
          <w:rFonts w:hint="eastAsia" w:ascii="宋体" w:hAnsi="宋体" w:eastAsia="仿宋_GB2312" w:cs="仿宋_GB2312"/>
          <w:sz w:val="32"/>
          <w:szCs w:val="32"/>
          <w:lang w:val="zh-CN" w:bidi="zh-TW"/>
        </w:rPr>
        <w:t>“凡建</w:t>
      </w:r>
      <w:r>
        <w:rPr>
          <w:rFonts w:hint="eastAsia" w:ascii="宋体" w:hAnsi="宋体" w:eastAsia="仿宋_GB2312" w:cs="仿宋_GB2312"/>
          <w:sz w:val="32"/>
          <w:szCs w:val="32"/>
          <w:lang w:bidi="zh-TW"/>
        </w:rPr>
        <w:t>必监”</w:t>
      </w:r>
      <w:r>
        <w:rPr>
          <w:rFonts w:hint="eastAsia" w:ascii="宋体" w:hAnsi="宋体" w:eastAsia="仿宋_GB2312" w:cs="仿宋_GB2312"/>
          <w:sz w:val="32"/>
          <w:szCs w:val="32"/>
          <w:lang w:val="zh-CN" w:bidi="zh-TW"/>
        </w:rPr>
        <w:t>和</w:t>
      </w:r>
      <w:r>
        <w:rPr>
          <w:rFonts w:hint="eastAsia" w:ascii="宋体" w:hAnsi="宋体" w:eastAsia="仿宋_GB2312" w:cs="仿宋_GB2312"/>
          <w:sz w:val="32"/>
          <w:szCs w:val="32"/>
          <w:lang w:bidi="zh-TW"/>
        </w:rPr>
        <w:t>房屋安全隐患常态化巡查发现机制。</w:t>
      </w:r>
    </w:p>
    <w:p>
      <w:pPr>
        <w:overflowPunct w:val="0"/>
        <w:spacing w:line="584" w:lineRule="exact"/>
        <w:ind w:firstLine="643" w:firstLineChars="200"/>
        <w:rPr>
          <w:rFonts w:hint="eastAsia" w:ascii="宋体" w:hAnsi="宋体" w:eastAsia="仿宋_GB2312" w:cs="仿宋_GB2312"/>
          <w:kern w:val="0"/>
          <w:sz w:val="32"/>
          <w:szCs w:val="32"/>
          <w:lang w:val="en" w:bidi="ar"/>
        </w:rPr>
      </w:pPr>
      <w:r>
        <w:rPr>
          <w:rFonts w:hint="eastAsia" w:ascii="宋体" w:hAnsi="宋体" w:eastAsia="楷体_GB2312" w:cs="楷体_GB2312"/>
          <w:b/>
          <w:bCs/>
          <w:sz w:val="32"/>
          <w:szCs w:val="32"/>
        </w:rPr>
        <w:t>17.</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加强交通运输安全管理。</w:t>
      </w:r>
      <w:r>
        <w:rPr>
          <w:rFonts w:hint="eastAsia" w:ascii="宋体" w:hAnsi="宋体" w:eastAsia="仿宋_GB2312" w:cs="仿宋_GB2312"/>
          <w:kern w:val="0"/>
          <w:sz w:val="32"/>
          <w:szCs w:val="32"/>
          <w:lang w:val="en" w:bidi="ar"/>
        </w:rPr>
        <w:t>完善货运车辆超限超载治理体系；引入第三方服务机制，全面检查和系统指导货运和维修企业安全生产工作；督促企业健全安全生产责任链条，完善隐患排查治理闭环管理体系，杜绝安全事故发生。</w:t>
      </w:r>
    </w:p>
    <w:p>
      <w:pPr>
        <w:overflowPunct w:val="0"/>
        <w:spacing w:line="584" w:lineRule="exact"/>
        <w:ind w:firstLine="643" w:firstLineChars="200"/>
        <w:rPr>
          <w:rFonts w:ascii="宋体" w:hAnsi="宋体" w:eastAsia="仿宋_GB2312" w:cs="仿宋_GB2312"/>
          <w:kern w:val="0"/>
          <w:sz w:val="32"/>
          <w:szCs w:val="32"/>
          <w:lang w:bidi="ar"/>
        </w:rPr>
      </w:pPr>
      <w:r>
        <w:rPr>
          <w:rFonts w:hint="eastAsia" w:ascii="宋体" w:hAnsi="宋体" w:eastAsia="楷体_GB2312" w:cs="楷体_GB2312"/>
          <w:b/>
          <w:bCs/>
          <w:sz w:val="32"/>
          <w:szCs w:val="32"/>
        </w:rPr>
        <w:t>18.</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扎实做好信访维稳工作。</w:t>
      </w:r>
      <w:r>
        <w:rPr>
          <w:rFonts w:hint="eastAsia" w:ascii="宋体" w:hAnsi="宋体" w:eastAsia="仿宋_GB2312" w:cs="仿宋_GB2312"/>
          <w:kern w:val="0"/>
          <w:sz w:val="32"/>
          <w:szCs w:val="32"/>
          <w:lang w:val="en" w:bidi="ar"/>
        </w:rPr>
        <w:t>加强房地产领域信访问题监测，紧盯重点楼盘和资金、品质等关键问题，全面排查，精准研判，主动对接，坚持处早处小，将矛盾化解在基层；探索源头根治农民工欠薪问题，强化实名制管理；加强相关政策文件和法律法规的学习培训，提高工作能力水平；创新工作方法，着力解决信访难题；加快建立局信访考核机制，提升热线、信访、诉讼办理的规范性和准确性。</w:t>
      </w:r>
    </w:p>
    <w:p>
      <w:pPr>
        <w:pStyle w:val="20"/>
        <w:overflowPunct w:val="0"/>
        <w:spacing w:line="584" w:lineRule="exact"/>
        <w:ind w:firstLine="640"/>
        <w:rPr>
          <w:rFonts w:ascii="宋体" w:hAnsi="宋体" w:eastAsia="黑体" w:cs="黑体"/>
          <w:bCs/>
          <w:sz w:val="32"/>
          <w:szCs w:val="32"/>
        </w:rPr>
      </w:pPr>
      <w:r>
        <w:rPr>
          <w:rFonts w:hint="eastAsia" w:ascii="宋体" w:hAnsi="宋体" w:eastAsia="黑体" w:cs="黑体"/>
          <w:bCs/>
          <w:sz w:val="32"/>
          <w:szCs w:val="32"/>
        </w:rPr>
        <w:t>六、强化党建引领，着力加强队伍建设</w:t>
      </w:r>
    </w:p>
    <w:p>
      <w:pPr>
        <w:overflowPunct w:val="0"/>
        <w:spacing w:line="584" w:lineRule="exact"/>
        <w:ind w:firstLine="643" w:firstLineChars="200"/>
        <w:rPr>
          <w:rFonts w:ascii="宋体" w:hAnsi="宋体" w:eastAsia="仿宋_GB2312" w:cs="仿宋_GB2312"/>
          <w:sz w:val="32"/>
          <w:szCs w:val="32"/>
        </w:rPr>
      </w:pPr>
      <w:r>
        <w:rPr>
          <w:rFonts w:hint="eastAsia" w:ascii="宋体" w:hAnsi="宋体" w:eastAsia="楷体_GB2312" w:cs="楷体_GB2312"/>
          <w:b/>
          <w:bCs/>
          <w:sz w:val="32"/>
          <w:szCs w:val="32"/>
        </w:rPr>
        <w:t>19.</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着力提升党建工作水平。</w:t>
      </w:r>
      <w:r>
        <w:rPr>
          <w:rFonts w:hint="eastAsia" w:ascii="宋体" w:hAnsi="宋体" w:eastAsia="仿宋_GB2312" w:cs="仿宋_GB2312"/>
          <w:kern w:val="0"/>
          <w:sz w:val="32"/>
          <w:szCs w:val="32"/>
          <w:lang w:val="en" w:bidi="ar"/>
        </w:rPr>
        <w:t>着力完善局机关和二级机构党组织架构体系和党员管理体系；坚持党建引领，充分发挥党组织战斗堡垒作用和党员先锋模范作用，打造党建品牌；把局工作的重点作为党建工作的结合点，把局工作的难点作为党建工作的突破点，推动党建工作与主责主业深度融合、相互促进。</w:t>
      </w:r>
    </w:p>
    <w:p>
      <w:pPr>
        <w:overflowPunct w:val="0"/>
        <w:spacing w:line="584" w:lineRule="exact"/>
        <w:ind w:firstLine="643" w:firstLineChars="200"/>
        <w:rPr>
          <w:rFonts w:ascii="宋体" w:hAnsi="宋体" w:eastAsia="仿宋_GB2312" w:cs="仿宋_GB2312"/>
          <w:sz w:val="32"/>
          <w:szCs w:val="32"/>
        </w:rPr>
      </w:pPr>
      <w:r>
        <w:rPr>
          <w:rFonts w:hint="eastAsia" w:ascii="宋体" w:hAnsi="宋体" w:eastAsia="楷体_GB2312" w:cs="楷体_GB2312"/>
          <w:b/>
          <w:bCs/>
          <w:sz w:val="32"/>
          <w:szCs w:val="32"/>
        </w:rPr>
        <w:t>20.</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着力推进党风廉政建设。</w:t>
      </w:r>
      <w:r>
        <w:rPr>
          <w:rFonts w:hint="eastAsia" w:ascii="宋体" w:hAnsi="宋体" w:eastAsia="仿宋_GB2312" w:cs="仿宋_GB2312"/>
          <w:spacing w:val="-4"/>
          <w:sz w:val="32"/>
          <w:szCs w:val="32"/>
          <w:lang w:val="en"/>
        </w:rPr>
        <w:t>落实党风廉政建设主体责任和一岗双责，重点抓好经常性示范教育、警示教育和岗位廉政教育，不断增强党员干部公正用权、依法用权、廉洁用权的自觉性；时刻紧绷家庭廉政弦，筑牢拒腐防变的思想防线，着力营造风清气正的良好氛围和崇廉倡廉的工作环境。</w:t>
      </w:r>
    </w:p>
    <w:p>
      <w:pPr>
        <w:pStyle w:val="2"/>
        <w:ind w:left="0" w:leftChars="0" w:firstLine="643" w:firstLineChars="200"/>
        <w:rPr>
          <w:lang w:val="en-US" w:bidi="ar-SA"/>
        </w:rPr>
      </w:pPr>
      <w:r>
        <w:rPr>
          <w:rFonts w:hint="eastAsia" w:ascii="宋体" w:hAnsi="宋体" w:eastAsia="楷体_GB2312" w:cs="楷体_GB2312"/>
          <w:b/>
          <w:bCs/>
          <w:sz w:val="32"/>
          <w:szCs w:val="32"/>
        </w:rPr>
        <w:t>21.</w:t>
      </w:r>
      <w:r>
        <w:rPr>
          <w:rFonts w:ascii="宋体" w:hAnsi="宋体" w:eastAsia="楷体_GB2312" w:cs="楷体_GB2312"/>
          <w:b/>
          <w:bCs/>
          <w:sz w:val="32"/>
          <w:szCs w:val="32"/>
        </w:rPr>
        <w:t xml:space="preserve"> </w:t>
      </w:r>
      <w:r>
        <w:rPr>
          <w:rFonts w:hint="eastAsia" w:ascii="宋体" w:hAnsi="宋体" w:eastAsia="楷体_GB2312" w:cs="楷体_GB2312"/>
          <w:b/>
          <w:bCs/>
          <w:sz w:val="32"/>
          <w:szCs w:val="32"/>
        </w:rPr>
        <w:t>着力提高干部能力素质。</w:t>
      </w:r>
      <w:r>
        <w:rPr>
          <w:rFonts w:hint="eastAsia" w:ascii="宋体" w:hAnsi="宋体" w:eastAsia="仿宋_GB2312" w:cs="仿宋_GB2312"/>
          <w:kern w:val="0"/>
          <w:sz w:val="32"/>
          <w:szCs w:val="32"/>
          <w:lang w:val="en" w:bidi="ar"/>
        </w:rPr>
        <w:t>以党的二十大精神为引领，</w:t>
      </w:r>
      <w:r>
        <w:rPr>
          <w:rFonts w:hint="eastAsia" w:ascii="宋体" w:hAnsi="宋体" w:eastAsia="仿宋_GB2312" w:cs="仿宋_GB2312"/>
          <w:kern w:val="0"/>
          <w:sz w:val="32"/>
          <w:szCs w:val="32"/>
          <w:lang w:bidi="ar"/>
        </w:rPr>
        <w:t>加强干部政治理论培训，提升干部思想政治素质和道德修养水平；加强专题学习、业务培训，注重学用结合、学以致用，引导干部成为本领域的行家里手</w:t>
      </w:r>
      <w:r>
        <w:rPr>
          <w:rFonts w:hint="eastAsia" w:ascii="宋体" w:hAnsi="宋体" w:eastAsia="仿宋_GB2312" w:cs="仿宋_GB2312"/>
          <w:kern w:val="0"/>
          <w:sz w:val="32"/>
          <w:szCs w:val="32"/>
          <w:lang w:val="en" w:bidi="ar"/>
        </w:rPr>
        <w:t>；完善干部职工的聘用、管理、考核和奖惩制度；</w:t>
      </w:r>
      <w:r>
        <w:rPr>
          <w:rFonts w:hint="eastAsia" w:ascii="宋体" w:hAnsi="宋体" w:eastAsia="仿宋_GB2312" w:cs="仿宋_GB2312"/>
          <w:kern w:val="0"/>
          <w:sz w:val="32"/>
          <w:szCs w:val="32"/>
          <w:lang w:bidi="ar"/>
        </w:rPr>
        <w:t>培养造就政治过硬、德才兼备、能担重任的高素质人才队伍，锻造一支住建交通铁军。</w:t>
      </w:r>
    </w:p>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rPr>
          <w:rFonts w:ascii="宋体" w:hAnsi="宋体"/>
        </w:rPr>
      </w:pPr>
    </w:p>
    <w:p>
      <w:pPr>
        <w:pStyle w:val="9"/>
        <w:overflowPunct w:val="0"/>
        <w:spacing w:line="200" w:lineRule="exact"/>
        <w:rPr>
          <w:rFonts w:ascii="宋体" w:hAnsi="宋体"/>
        </w:rPr>
      </w:pPr>
    </w:p>
    <w:p>
      <w:pPr>
        <w:pStyle w:val="9"/>
        <w:overflowPunct w:val="0"/>
        <w:spacing w:line="160" w:lineRule="exact"/>
        <w:rPr>
          <w:rFonts w:hint="eastAsia" w:ascii="宋体" w:hAnsi="宋体"/>
        </w:rPr>
      </w:pPr>
    </w:p>
    <w:p>
      <w:pPr>
        <w:pStyle w:val="9"/>
        <w:overflowPunct w:val="0"/>
        <w:spacing w:line="240" w:lineRule="exact"/>
        <w:rPr>
          <w:rFonts w:ascii="宋体" w:hAnsi="宋体"/>
        </w:rPr>
      </w:pPr>
    </w:p>
    <w:p>
      <w:pPr>
        <w:pStyle w:val="9"/>
        <w:overflowPunct w:val="0"/>
        <w:spacing w:line="240" w:lineRule="exact"/>
        <w:rPr>
          <w:rFonts w:hint="eastAsia" w:ascii="宋体" w:hAnsi="宋体"/>
        </w:rPr>
      </w:pPr>
    </w:p>
    <w:p>
      <w:pPr>
        <w:pStyle w:val="9"/>
        <w:overflowPunct w:val="0"/>
        <w:spacing w:line="240" w:lineRule="exact"/>
        <w:rPr>
          <w:rFonts w:ascii="宋体" w:hAnsi="宋体"/>
        </w:rPr>
      </w:pPr>
    </w:p>
    <w:p>
      <w:pPr>
        <w:pStyle w:val="9"/>
        <w:overflowPunct w:val="0"/>
        <w:spacing w:line="240" w:lineRule="exact"/>
        <w:rPr>
          <w:rFonts w:ascii="宋体" w:hAnsi="宋体"/>
        </w:rPr>
      </w:pPr>
    </w:p>
    <w:p>
      <w:pPr>
        <w:pStyle w:val="9"/>
        <w:overflowPunct w:val="0"/>
        <w:spacing w:line="240" w:lineRule="exact"/>
        <w:rPr>
          <w:rFonts w:ascii="宋体" w:hAnsi="宋体"/>
        </w:rPr>
      </w:pPr>
    </w:p>
    <w:tbl>
      <w:tblPr>
        <w:tblStyle w:val="17"/>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shd w:val="clear" w:color="auto" w:fill="auto"/>
            <w:vAlign w:val="center"/>
          </w:tcPr>
          <w:p>
            <w:pPr>
              <w:pStyle w:val="9"/>
              <w:overflowPunct w:val="0"/>
              <w:jc w:val="both"/>
              <w:rPr>
                <w:rFonts w:ascii="宋体" w:hAnsi="宋体" w:eastAsia="仿宋_GB2312"/>
                <w:spacing w:val="-6"/>
                <w:w w:val="95"/>
                <w:sz w:val="28"/>
                <w:szCs w:val="28"/>
              </w:rPr>
            </w:pPr>
            <w:r>
              <w:rPr>
                <w:rFonts w:hint="eastAsia" w:ascii="宋体" w:hAnsi="宋体" w:eastAsia="仿宋_GB2312"/>
                <w:spacing w:val="-6"/>
                <w:w w:val="95"/>
                <w:sz w:val="28"/>
                <w:szCs w:val="28"/>
              </w:rPr>
              <w:t>湖南湘江新区管理委员会开发建设局（交通运输局）</w:t>
            </w:r>
            <w:r>
              <w:rPr>
                <w:rFonts w:ascii="宋体" w:hAnsi="宋体" w:eastAsia="仿宋_GB2312"/>
                <w:spacing w:val="-6"/>
                <w:w w:val="95"/>
                <w:sz w:val="28"/>
                <w:szCs w:val="28"/>
              </w:rPr>
              <w:t xml:space="preserve">   </w:t>
            </w:r>
            <w:r>
              <w:rPr>
                <w:rFonts w:hint="eastAsia" w:ascii="宋体" w:hAnsi="宋体" w:eastAsia="仿宋_GB2312"/>
                <w:spacing w:val="-6"/>
                <w:w w:val="95"/>
                <w:sz w:val="28"/>
                <w:szCs w:val="28"/>
              </w:rPr>
              <w:t xml:space="preserve">  202</w:t>
            </w:r>
            <w:r>
              <w:rPr>
                <w:rFonts w:ascii="宋体" w:hAnsi="宋体" w:eastAsia="仿宋_GB2312"/>
                <w:spacing w:val="-6"/>
                <w:w w:val="95"/>
                <w:sz w:val="28"/>
                <w:szCs w:val="28"/>
              </w:rPr>
              <w:t>3</w:t>
            </w:r>
            <w:r>
              <w:rPr>
                <w:rFonts w:hint="eastAsia" w:ascii="宋体" w:hAnsi="宋体" w:eastAsia="仿宋_GB2312"/>
                <w:spacing w:val="-6"/>
                <w:w w:val="95"/>
                <w:sz w:val="28"/>
                <w:szCs w:val="28"/>
              </w:rPr>
              <w:t>年</w:t>
            </w:r>
            <w:r>
              <w:rPr>
                <w:rFonts w:ascii="宋体" w:hAnsi="宋体" w:eastAsia="仿宋_GB2312"/>
                <w:spacing w:val="-6"/>
                <w:w w:val="95"/>
                <w:sz w:val="28"/>
                <w:szCs w:val="28"/>
              </w:rPr>
              <w:t>2</w:t>
            </w:r>
            <w:r>
              <w:rPr>
                <w:rFonts w:hint="eastAsia" w:ascii="宋体" w:hAnsi="宋体" w:eastAsia="仿宋_GB2312"/>
                <w:spacing w:val="-6"/>
                <w:w w:val="95"/>
                <w:sz w:val="28"/>
                <w:szCs w:val="28"/>
              </w:rPr>
              <w:t>月</w:t>
            </w:r>
            <w:r>
              <w:rPr>
                <w:rFonts w:ascii="宋体" w:hAnsi="宋体" w:eastAsia="仿宋_GB2312"/>
                <w:spacing w:val="-6"/>
                <w:w w:val="95"/>
                <w:sz w:val="28"/>
                <w:szCs w:val="28"/>
              </w:rPr>
              <w:t>21</w:t>
            </w:r>
            <w:r>
              <w:rPr>
                <w:rFonts w:hint="eastAsia" w:ascii="宋体" w:hAnsi="宋体" w:eastAsia="仿宋_GB2312"/>
                <w:spacing w:val="-6"/>
                <w:w w:val="95"/>
                <w:sz w:val="28"/>
                <w:szCs w:val="28"/>
              </w:rPr>
              <w:t>日印发</w:t>
            </w:r>
          </w:p>
        </w:tc>
      </w:tr>
    </w:tbl>
    <w:p>
      <w:pPr>
        <w:pStyle w:val="2"/>
        <w:spacing w:line="20" w:lineRule="exact"/>
        <w:rPr>
          <w:rFonts w:hint="eastAsia"/>
          <w:lang w:val="en-US" w:bidi="ar-SA"/>
        </w:rPr>
      </w:pPr>
    </w:p>
    <w:sectPr>
      <w:footerReference r:id="rId3" w:type="default"/>
      <w:footerReference r:id="rId4" w:type="even"/>
      <w:pgSz w:w="11906" w:h="16838"/>
      <w:pgMar w:top="1701" w:right="1418" w:bottom="1701" w:left="1474" w:header="851" w:footer="1134"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documentProtection w:enforcement="0"/>
  <w:defaultTabStop w:val="420"/>
  <w:evenAndOddHeaders w:val="1"/>
  <w:drawingGridHorizontalSpacing w:val="105"/>
  <w:drawingGridVerticalSpacing w:val="15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1OWNmNTliNDFhNWViNGNkNTZhMzU5ZTY1MzQyNDgifQ=="/>
  </w:docVars>
  <w:rsids>
    <w:rsidRoot w:val="00A93DFE"/>
    <w:rsid w:val="00070539"/>
    <w:rsid w:val="00271CEF"/>
    <w:rsid w:val="00296CC3"/>
    <w:rsid w:val="002C6C0F"/>
    <w:rsid w:val="003D40B9"/>
    <w:rsid w:val="00567895"/>
    <w:rsid w:val="006A3FAD"/>
    <w:rsid w:val="007073E5"/>
    <w:rsid w:val="007D14BF"/>
    <w:rsid w:val="008E6485"/>
    <w:rsid w:val="009534E7"/>
    <w:rsid w:val="00993FD2"/>
    <w:rsid w:val="009A0E60"/>
    <w:rsid w:val="00A93DFE"/>
    <w:rsid w:val="00AC156F"/>
    <w:rsid w:val="00B029F0"/>
    <w:rsid w:val="00B45E5B"/>
    <w:rsid w:val="00BD4F8B"/>
    <w:rsid w:val="00D56053"/>
    <w:rsid w:val="00D919A4"/>
    <w:rsid w:val="00E3405F"/>
    <w:rsid w:val="00E7023D"/>
    <w:rsid w:val="00F7668A"/>
    <w:rsid w:val="00F82F04"/>
    <w:rsid w:val="00F83E74"/>
    <w:rsid w:val="01325E22"/>
    <w:rsid w:val="02411772"/>
    <w:rsid w:val="02533F0F"/>
    <w:rsid w:val="02654AB2"/>
    <w:rsid w:val="02D768EE"/>
    <w:rsid w:val="035F40DD"/>
    <w:rsid w:val="03936CB9"/>
    <w:rsid w:val="054C39B4"/>
    <w:rsid w:val="05D31817"/>
    <w:rsid w:val="06A24B0D"/>
    <w:rsid w:val="06E516C5"/>
    <w:rsid w:val="07660241"/>
    <w:rsid w:val="079D625C"/>
    <w:rsid w:val="07AD62D6"/>
    <w:rsid w:val="0A8530D4"/>
    <w:rsid w:val="0BC639A4"/>
    <w:rsid w:val="0BFFFC8E"/>
    <w:rsid w:val="0C721436"/>
    <w:rsid w:val="0CED4B73"/>
    <w:rsid w:val="0F2C6C62"/>
    <w:rsid w:val="0FEE34C9"/>
    <w:rsid w:val="10101691"/>
    <w:rsid w:val="10A83678"/>
    <w:rsid w:val="11A402E3"/>
    <w:rsid w:val="11B5604C"/>
    <w:rsid w:val="13C33098"/>
    <w:rsid w:val="143C2A55"/>
    <w:rsid w:val="14FB2910"/>
    <w:rsid w:val="17BC0650"/>
    <w:rsid w:val="17BD24B7"/>
    <w:rsid w:val="180D6EC6"/>
    <w:rsid w:val="198C424E"/>
    <w:rsid w:val="1A1D0C33"/>
    <w:rsid w:val="1A4E5290"/>
    <w:rsid w:val="1A7550B9"/>
    <w:rsid w:val="1AFB1D74"/>
    <w:rsid w:val="1B33292F"/>
    <w:rsid w:val="1B7927E1"/>
    <w:rsid w:val="1C4050AC"/>
    <w:rsid w:val="1E1473FF"/>
    <w:rsid w:val="1E1F17E9"/>
    <w:rsid w:val="1F7E00E0"/>
    <w:rsid w:val="1F7FE28F"/>
    <w:rsid w:val="20E34258"/>
    <w:rsid w:val="20F24572"/>
    <w:rsid w:val="220F7EF5"/>
    <w:rsid w:val="236B32F5"/>
    <w:rsid w:val="23F74064"/>
    <w:rsid w:val="245B0CD5"/>
    <w:rsid w:val="24977834"/>
    <w:rsid w:val="25331C52"/>
    <w:rsid w:val="292F0982"/>
    <w:rsid w:val="29DB03AA"/>
    <w:rsid w:val="2AFB4FC0"/>
    <w:rsid w:val="2B36E8DB"/>
    <w:rsid w:val="2B8FE4B4"/>
    <w:rsid w:val="2BDF21EC"/>
    <w:rsid w:val="2CB2345D"/>
    <w:rsid w:val="2D35645C"/>
    <w:rsid w:val="2F3F22FF"/>
    <w:rsid w:val="2F7A40EF"/>
    <w:rsid w:val="2FEA56D4"/>
    <w:rsid w:val="2FFC2C2D"/>
    <w:rsid w:val="3002294D"/>
    <w:rsid w:val="30955C68"/>
    <w:rsid w:val="30E20244"/>
    <w:rsid w:val="330662B0"/>
    <w:rsid w:val="33985F59"/>
    <w:rsid w:val="33B4468C"/>
    <w:rsid w:val="340A6274"/>
    <w:rsid w:val="343B422E"/>
    <w:rsid w:val="348E744A"/>
    <w:rsid w:val="353F5AA9"/>
    <w:rsid w:val="35BFF4DF"/>
    <w:rsid w:val="36CB62E7"/>
    <w:rsid w:val="37DB9194"/>
    <w:rsid w:val="37DD1C5E"/>
    <w:rsid w:val="37F7949B"/>
    <w:rsid w:val="387E5179"/>
    <w:rsid w:val="398268AC"/>
    <w:rsid w:val="3A0C1937"/>
    <w:rsid w:val="3A1514CF"/>
    <w:rsid w:val="3A255BB6"/>
    <w:rsid w:val="3B4756D7"/>
    <w:rsid w:val="3BA7ABC6"/>
    <w:rsid w:val="3C15447E"/>
    <w:rsid w:val="3C9E1C4F"/>
    <w:rsid w:val="3CD94A35"/>
    <w:rsid w:val="3CD951D6"/>
    <w:rsid w:val="3CFD4BC8"/>
    <w:rsid w:val="3DC816FE"/>
    <w:rsid w:val="3DD5344F"/>
    <w:rsid w:val="3DDBB480"/>
    <w:rsid w:val="3DE72D66"/>
    <w:rsid w:val="3DEE36BE"/>
    <w:rsid w:val="3DEF18E0"/>
    <w:rsid w:val="3E8D9EED"/>
    <w:rsid w:val="3F046B12"/>
    <w:rsid w:val="3F3E40E9"/>
    <w:rsid w:val="3FA53AE5"/>
    <w:rsid w:val="3FF511AB"/>
    <w:rsid w:val="40FB247D"/>
    <w:rsid w:val="41F93484"/>
    <w:rsid w:val="42383FAC"/>
    <w:rsid w:val="43E20674"/>
    <w:rsid w:val="475B9438"/>
    <w:rsid w:val="47F831D5"/>
    <w:rsid w:val="486E58D2"/>
    <w:rsid w:val="497F2CFF"/>
    <w:rsid w:val="4A1E1CDA"/>
    <w:rsid w:val="4A2608EB"/>
    <w:rsid w:val="4AF77B4E"/>
    <w:rsid w:val="4AFA64BE"/>
    <w:rsid w:val="4B7136CE"/>
    <w:rsid w:val="4CF437B3"/>
    <w:rsid w:val="4EA97DA2"/>
    <w:rsid w:val="4EBF5EC9"/>
    <w:rsid w:val="4EFF8D19"/>
    <w:rsid w:val="4F3B1580"/>
    <w:rsid w:val="4F512B51"/>
    <w:rsid w:val="4F534D39"/>
    <w:rsid w:val="4F5B03A5"/>
    <w:rsid w:val="4FEC5838"/>
    <w:rsid w:val="4FFE711C"/>
    <w:rsid w:val="4FFFA114"/>
    <w:rsid w:val="520E0886"/>
    <w:rsid w:val="53EF1201"/>
    <w:rsid w:val="54460F40"/>
    <w:rsid w:val="54E83610"/>
    <w:rsid w:val="55F45FE4"/>
    <w:rsid w:val="56571D94"/>
    <w:rsid w:val="56913258"/>
    <w:rsid w:val="57C427C1"/>
    <w:rsid w:val="57FBA4BE"/>
    <w:rsid w:val="58323969"/>
    <w:rsid w:val="583F5DD8"/>
    <w:rsid w:val="58550FBC"/>
    <w:rsid w:val="590B7E91"/>
    <w:rsid w:val="596A0A97"/>
    <w:rsid w:val="597C4AFE"/>
    <w:rsid w:val="59FE5684"/>
    <w:rsid w:val="5AC0391D"/>
    <w:rsid w:val="5B305D11"/>
    <w:rsid w:val="5C0056E3"/>
    <w:rsid w:val="5CB85FBE"/>
    <w:rsid w:val="5CDE5716"/>
    <w:rsid w:val="5CEA7C94"/>
    <w:rsid w:val="5D5B9998"/>
    <w:rsid w:val="5D67C629"/>
    <w:rsid w:val="5DD74CE3"/>
    <w:rsid w:val="5EFF51E4"/>
    <w:rsid w:val="5F3A26FB"/>
    <w:rsid w:val="5F54696C"/>
    <w:rsid w:val="5F557AF4"/>
    <w:rsid w:val="5F7E1992"/>
    <w:rsid w:val="5FEC48FC"/>
    <w:rsid w:val="5FF798D7"/>
    <w:rsid w:val="5FFF2BEB"/>
    <w:rsid w:val="5FFF6F71"/>
    <w:rsid w:val="606C3DEF"/>
    <w:rsid w:val="61A22D98"/>
    <w:rsid w:val="61B15EBE"/>
    <w:rsid w:val="61F31DD5"/>
    <w:rsid w:val="61FED2E7"/>
    <w:rsid w:val="62255052"/>
    <w:rsid w:val="62A52B40"/>
    <w:rsid w:val="63343621"/>
    <w:rsid w:val="63380134"/>
    <w:rsid w:val="63F313D6"/>
    <w:rsid w:val="63FD4CFE"/>
    <w:rsid w:val="64465C5A"/>
    <w:rsid w:val="654C1999"/>
    <w:rsid w:val="665E0BAB"/>
    <w:rsid w:val="66F7D639"/>
    <w:rsid w:val="679F0F4F"/>
    <w:rsid w:val="68792AA5"/>
    <w:rsid w:val="68CD2DF1"/>
    <w:rsid w:val="69F40954"/>
    <w:rsid w:val="69FFC44C"/>
    <w:rsid w:val="6B812C00"/>
    <w:rsid w:val="6B935963"/>
    <w:rsid w:val="6BB791D3"/>
    <w:rsid w:val="6BC32289"/>
    <w:rsid w:val="6BE4A277"/>
    <w:rsid w:val="6C04717E"/>
    <w:rsid w:val="6DDC6CA7"/>
    <w:rsid w:val="6DFF4ECB"/>
    <w:rsid w:val="6E2F5555"/>
    <w:rsid w:val="6F6B5112"/>
    <w:rsid w:val="6FEAC621"/>
    <w:rsid w:val="6FF557B3"/>
    <w:rsid w:val="6FFA2023"/>
    <w:rsid w:val="6FFE60E7"/>
    <w:rsid w:val="71C823A7"/>
    <w:rsid w:val="71D6B2BE"/>
    <w:rsid w:val="725D57AD"/>
    <w:rsid w:val="72C25048"/>
    <w:rsid w:val="72F33052"/>
    <w:rsid w:val="73D239B1"/>
    <w:rsid w:val="73E7CECF"/>
    <w:rsid w:val="73F74AD2"/>
    <w:rsid w:val="74CE6C19"/>
    <w:rsid w:val="75CF127C"/>
    <w:rsid w:val="76BE6987"/>
    <w:rsid w:val="77426B90"/>
    <w:rsid w:val="77A15B74"/>
    <w:rsid w:val="78033D8A"/>
    <w:rsid w:val="793B3FBA"/>
    <w:rsid w:val="79627585"/>
    <w:rsid w:val="7999E8DA"/>
    <w:rsid w:val="79BF7691"/>
    <w:rsid w:val="79FE1CB9"/>
    <w:rsid w:val="7A8F6158"/>
    <w:rsid w:val="7B3D3D0F"/>
    <w:rsid w:val="7BC462D5"/>
    <w:rsid w:val="7BFF9C03"/>
    <w:rsid w:val="7C5330BE"/>
    <w:rsid w:val="7C5B7BF8"/>
    <w:rsid w:val="7C9C207B"/>
    <w:rsid w:val="7D0C7CB9"/>
    <w:rsid w:val="7D7E3496"/>
    <w:rsid w:val="7DE85D8E"/>
    <w:rsid w:val="7DF60B0A"/>
    <w:rsid w:val="7DF92E0A"/>
    <w:rsid w:val="7DFFE23F"/>
    <w:rsid w:val="7E386B07"/>
    <w:rsid w:val="7E3D77E7"/>
    <w:rsid w:val="7E56CAB1"/>
    <w:rsid w:val="7EAB552B"/>
    <w:rsid w:val="7EFF6E58"/>
    <w:rsid w:val="7F2A5F0F"/>
    <w:rsid w:val="7F6C11D2"/>
    <w:rsid w:val="7F75F3B4"/>
    <w:rsid w:val="7F7F9234"/>
    <w:rsid w:val="7FB42B4D"/>
    <w:rsid w:val="7FBD6639"/>
    <w:rsid w:val="7FDD8D11"/>
    <w:rsid w:val="7FED630C"/>
    <w:rsid w:val="7FFD9825"/>
    <w:rsid w:val="7FFF8BF4"/>
    <w:rsid w:val="7FFFFE2E"/>
    <w:rsid w:val="87A8B306"/>
    <w:rsid w:val="87DAEED6"/>
    <w:rsid w:val="9177E02C"/>
    <w:rsid w:val="917E2FAA"/>
    <w:rsid w:val="92BDDCB5"/>
    <w:rsid w:val="930633E1"/>
    <w:rsid w:val="97CE6E23"/>
    <w:rsid w:val="9DFF252F"/>
    <w:rsid w:val="9E6F1F7B"/>
    <w:rsid w:val="9EF5955C"/>
    <w:rsid w:val="9EFB73D4"/>
    <w:rsid w:val="A37E8DE0"/>
    <w:rsid w:val="A67C8493"/>
    <w:rsid w:val="A6BCD796"/>
    <w:rsid w:val="A7DB0730"/>
    <w:rsid w:val="A7ED47AA"/>
    <w:rsid w:val="A9BFC9BB"/>
    <w:rsid w:val="ABBEB14E"/>
    <w:rsid w:val="AEFA8A63"/>
    <w:rsid w:val="AEFD1371"/>
    <w:rsid w:val="AFBE0362"/>
    <w:rsid w:val="B6756A0D"/>
    <w:rsid w:val="B6E75C0A"/>
    <w:rsid w:val="B6FF7B23"/>
    <w:rsid w:val="B7573D6A"/>
    <w:rsid w:val="B76D14DE"/>
    <w:rsid w:val="B7B973C5"/>
    <w:rsid w:val="B7D7B4A6"/>
    <w:rsid w:val="B7EF4BAB"/>
    <w:rsid w:val="BAF1B4F4"/>
    <w:rsid w:val="BB9D797D"/>
    <w:rsid w:val="BF3EC379"/>
    <w:rsid w:val="BF99D39D"/>
    <w:rsid w:val="BFBBBFDC"/>
    <w:rsid w:val="BFBF9750"/>
    <w:rsid w:val="BFCF79ED"/>
    <w:rsid w:val="BFEE7C32"/>
    <w:rsid w:val="BFFB44E3"/>
    <w:rsid w:val="C7FEF8A5"/>
    <w:rsid w:val="CD7F6DE5"/>
    <w:rsid w:val="CE7D2824"/>
    <w:rsid w:val="CF3E6D17"/>
    <w:rsid w:val="D265CFFE"/>
    <w:rsid w:val="D4DBEA07"/>
    <w:rsid w:val="D5EFE113"/>
    <w:rsid w:val="D69FF4CA"/>
    <w:rsid w:val="DBFF6551"/>
    <w:rsid w:val="DEAFFA80"/>
    <w:rsid w:val="DFBEEE4E"/>
    <w:rsid w:val="DFEFE7E5"/>
    <w:rsid w:val="E47BA111"/>
    <w:rsid w:val="E5E5FD4C"/>
    <w:rsid w:val="E9FFF76E"/>
    <w:rsid w:val="EAF65818"/>
    <w:rsid w:val="EAFFDA86"/>
    <w:rsid w:val="EBF7DED0"/>
    <w:rsid w:val="EBFFD852"/>
    <w:rsid w:val="EDE7F987"/>
    <w:rsid w:val="EDF5D3FF"/>
    <w:rsid w:val="EDFF74A9"/>
    <w:rsid w:val="EE9FFA74"/>
    <w:rsid w:val="EEBD3311"/>
    <w:rsid w:val="EEDE0F84"/>
    <w:rsid w:val="EEFA9253"/>
    <w:rsid w:val="EF8E70AE"/>
    <w:rsid w:val="F1EB64BF"/>
    <w:rsid w:val="F1FE9E1E"/>
    <w:rsid w:val="F2B82E51"/>
    <w:rsid w:val="F36CAD6C"/>
    <w:rsid w:val="F379E21E"/>
    <w:rsid w:val="F3FF52DB"/>
    <w:rsid w:val="F5BFAA20"/>
    <w:rsid w:val="F5CAFBEE"/>
    <w:rsid w:val="F5F739F8"/>
    <w:rsid w:val="F5FAF2F1"/>
    <w:rsid w:val="F5FF7A0E"/>
    <w:rsid w:val="F74F0298"/>
    <w:rsid w:val="F776E298"/>
    <w:rsid w:val="F7B790CA"/>
    <w:rsid w:val="F7DECE60"/>
    <w:rsid w:val="F7FF102E"/>
    <w:rsid w:val="F7FFC449"/>
    <w:rsid w:val="F8F7B2F5"/>
    <w:rsid w:val="F93D4699"/>
    <w:rsid w:val="F9E69F20"/>
    <w:rsid w:val="FB57E5D4"/>
    <w:rsid w:val="FBDFB70A"/>
    <w:rsid w:val="FBF7FD81"/>
    <w:rsid w:val="FBFCD577"/>
    <w:rsid w:val="FBFD86A8"/>
    <w:rsid w:val="FBFE786C"/>
    <w:rsid w:val="FBFF686C"/>
    <w:rsid w:val="FBFF9CB7"/>
    <w:rsid w:val="FBFFA5D2"/>
    <w:rsid w:val="FC9A6EBA"/>
    <w:rsid w:val="FDFE47A4"/>
    <w:rsid w:val="FE1B691C"/>
    <w:rsid w:val="FE3B05DA"/>
    <w:rsid w:val="FE8FDB00"/>
    <w:rsid w:val="FEFDC4B1"/>
    <w:rsid w:val="FEFE1095"/>
    <w:rsid w:val="FF278F14"/>
    <w:rsid w:val="FF4B35DD"/>
    <w:rsid w:val="FF57CFAF"/>
    <w:rsid w:val="FFBF4231"/>
    <w:rsid w:val="FFD644CD"/>
    <w:rsid w:val="FFDFA86C"/>
    <w:rsid w:val="FFF72F2D"/>
    <w:rsid w:val="FFF88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4">
    <w:name w:val="heading 5"/>
    <w:next w:val="1"/>
    <w:qFormat/>
    <w:uiPriority w:val="0"/>
    <w:pPr>
      <w:keepNext/>
      <w:keepLines/>
      <w:widowControl w:val="0"/>
      <w:spacing w:before="280" w:after="290" w:line="376" w:lineRule="auto"/>
      <w:jc w:val="both"/>
      <w:outlineLvl w:val="4"/>
    </w:pPr>
    <w:rPr>
      <w:rFonts w:ascii="Calibri" w:hAnsi="Calibri" w:eastAsia="宋体" w:cs="Times New Roman"/>
      <w:b/>
      <w:bCs/>
      <w:kern w:val="2"/>
      <w:sz w:val="28"/>
      <w:szCs w:val="28"/>
      <w:lang w:val="en-US" w:eastAsia="zh-CN" w:bidi="ar-SA"/>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ind w:left="119"/>
    </w:pPr>
    <w:rPr>
      <w:rFonts w:ascii="仿宋" w:hAnsi="仿宋" w:eastAsia="仿宋" w:cs="仿宋"/>
      <w:sz w:val="32"/>
      <w:szCs w:val="32"/>
      <w:lang w:val="zh-CN" w:bidi="zh-CN"/>
    </w:rPr>
  </w:style>
  <w:style w:type="paragraph" w:styleId="5">
    <w:name w:val="Normal Indent"/>
    <w:basedOn w:val="1"/>
    <w:qFormat/>
    <w:uiPriority w:val="0"/>
    <w:pPr>
      <w:ind w:firstLine="420" w:firstLineChars="200"/>
    </w:pPr>
    <w:rPr>
      <w:rFonts w:eastAsia="仿宋"/>
    </w:rPr>
  </w:style>
  <w:style w:type="paragraph" w:styleId="6">
    <w:name w:val="Body Text Indent"/>
    <w:basedOn w:val="1"/>
    <w:next w:val="5"/>
    <w:qFormat/>
    <w:uiPriority w:val="99"/>
    <w:pPr>
      <w:spacing w:after="120"/>
      <w:ind w:left="420" w:leftChars="200"/>
    </w:pPr>
  </w:style>
  <w:style w:type="paragraph" w:styleId="7">
    <w:name w:val="Body Text Indent 2"/>
    <w:basedOn w:val="1"/>
    <w:next w:val="1"/>
    <w:unhideWhenUsed/>
    <w:qFormat/>
    <w:uiPriority w:val="0"/>
    <w:pPr>
      <w:spacing w:after="120" w:line="480" w:lineRule="auto"/>
      <w:ind w:left="200" w:leftChars="200"/>
    </w:pPr>
  </w:style>
  <w:style w:type="paragraph" w:styleId="8">
    <w:name w:val="Balloon Text"/>
    <w:basedOn w:val="1"/>
    <w:link w:val="19"/>
    <w:qFormat/>
    <w:uiPriority w:val="0"/>
    <w:rPr>
      <w:sz w:val="18"/>
      <w:szCs w:val="18"/>
    </w:rPr>
  </w:style>
  <w:style w:type="paragraph" w:styleId="9">
    <w:name w:val="footer"/>
    <w:basedOn w:val="1"/>
    <w:link w:val="29"/>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footnote text"/>
    <w:basedOn w:val="1"/>
    <w:qFormat/>
    <w:uiPriority w:val="0"/>
    <w:pPr>
      <w:snapToGrid w:val="0"/>
      <w:jc w:val="left"/>
    </w:pPr>
    <w:rPr>
      <w:rFonts w:ascii="Times New Roman" w:hAnsi="Times New Roman"/>
      <w:sz w:val="18"/>
      <w:szCs w:val="18"/>
    </w:rPr>
  </w:style>
  <w:style w:type="paragraph" w:styleId="12">
    <w:name w:val="Body Text Indent 3"/>
    <w:basedOn w:val="1"/>
    <w:next w:val="13"/>
    <w:qFormat/>
    <w:uiPriority w:val="99"/>
    <w:rPr>
      <w:sz w:val="16"/>
      <w:szCs w:val="16"/>
    </w:rPr>
  </w:style>
  <w:style w:type="paragraph" w:styleId="13">
    <w:name w:val="Body Text First Indent"/>
    <w:basedOn w:val="2"/>
    <w:next w:val="12"/>
    <w:qFormat/>
    <w:uiPriority w:val="99"/>
    <w:pPr>
      <w:ind w:firstLine="664"/>
    </w:p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5">
    <w:name w:val="Normal (Web)"/>
    <w:basedOn w:val="1"/>
    <w:qFormat/>
    <w:uiPriority w:val="0"/>
    <w:pPr>
      <w:spacing w:beforeAutospacing="1" w:afterAutospacing="1"/>
      <w:jc w:val="left"/>
    </w:pPr>
    <w:rPr>
      <w:kern w:val="0"/>
      <w:sz w:val="24"/>
    </w:rPr>
  </w:style>
  <w:style w:type="paragraph" w:styleId="16">
    <w:name w:val="Body Text First Indent 2"/>
    <w:basedOn w:val="6"/>
    <w:next w:val="1"/>
    <w:qFormat/>
    <w:uiPriority w:val="99"/>
    <w:pPr>
      <w:ind w:firstLine="210"/>
    </w:pPr>
  </w:style>
  <w:style w:type="character" w:customStyle="1" w:styleId="19">
    <w:name w:val="批注框文本 字符"/>
    <w:link w:val="8"/>
    <w:qFormat/>
    <w:uiPriority w:val="0"/>
    <w:rPr>
      <w:rFonts w:ascii="Calibri" w:hAnsi="Calibri"/>
      <w:kern w:val="2"/>
      <w:sz w:val="18"/>
      <w:szCs w:val="18"/>
    </w:rPr>
  </w:style>
  <w:style w:type="paragraph" w:customStyle="1" w:styleId="20">
    <w:name w:val="_Style 1"/>
    <w:basedOn w:val="1"/>
    <w:qFormat/>
    <w:uiPriority w:val="0"/>
    <w:pPr>
      <w:ind w:firstLine="420" w:firstLineChars="200"/>
    </w:pPr>
  </w:style>
  <w:style w:type="paragraph" w:customStyle="1" w:styleId="21">
    <w:name w:val="标4"/>
    <w:basedOn w:val="22"/>
    <w:next w:val="1"/>
    <w:qFormat/>
    <w:uiPriority w:val="0"/>
    <w:pPr>
      <w:spacing w:before="240" w:after="360"/>
      <w:outlineLvl w:val="3"/>
    </w:pPr>
    <w:rPr>
      <w:rFonts w:cs="Arial"/>
    </w:rPr>
  </w:style>
  <w:style w:type="paragraph" w:customStyle="1" w:styleId="22">
    <w:name w:val="标3"/>
    <w:basedOn w:val="1"/>
    <w:qFormat/>
    <w:uiPriority w:val="0"/>
    <w:pPr>
      <w:spacing w:line="240" w:lineRule="exact"/>
      <w:outlineLvl w:val="2"/>
    </w:pPr>
    <w:rPr>
      <w:rFonts w:ascii="Arial" w:hAnsi="Arial"/>
      <w:b/>
      <w:bCs/>
      <w:kern w:val="24"/>
    </w:rPr>
  </w:style>
  <w:style w:type="character" w:customStyle="1" w:styleId="23">
    <w:name w:val="NormalCharacter"/>
    <w:semiHidden/>
    <w:qFormat/>
    <w:uiPriority w:val="0"/>
  </w:style>
  <w:style w:type="paragraph" w:customStyle="1" w:styleId="24">
    <w:name w:val="列出段落1"/>
    <w:basedOn w:val="1"/>
    <w:qFormat/>
    <w:uiPriority w:val="34"/>
    <w:pPr>
      <w:ind w:firstLine="420" w:firstLineChars="200"/>
    </w:pPr>
  </w:style>
  <w:style w:type="paragraph" w:customStyle="1" w:styleId="25">
    <w:name w:val="样式 首行缩进:  2 字符"/>
    <w:basedOn w:val="1"/>
    <w:qFormat/>
    <w:uiPriority w:val="0"/>
    <w:pPr>
      <w:ind w:firstLine="480"/>
    </w:pPr>
    <w:rPr>
      <w:szCs w:val="20"/>
    </w:rPr>
  </w:style>
  <w:style w:type="character" w:customStyle="1" w:styleId="26">
    <w:name w:val="font51"/>
    <w:basedOn w:val="18"/>
    <w:qFormat/>
    <w:uiPriority w:val="0"/>
    <w:rPr>
      <w:rFonts w:hint="eastAsia" w:ascii="仿宋_GB2312" w:eastAsia="仿宋_GB2312" w:cs="仿宋_GB2312"/>
      <w:color w:val="000000"/>
      <w:sz w:val="24"/>
      <w:szCs w:val="24"/>
      <w:u w:val="none"/>
    </w:rPr>
  </w:style>
  <w:style w:type="character" w:customStyle="1" w:styleId="27">
    <w:name w:val="font61"/>
    <w:basedOn w:val="18"/>
    <w:qFormat/>
    <w:uiPriority w:val="0"/>
    <w:rPr>
      <w:rFonts w:hint="eastAsia" w:ascii="仿宋_GB2312" w:eastAsia="仿宋_GB2312" w:cs="仿宋_GB2312"/>
      <w:color w:val="000000"/>
      <w:sz w:val="20"/>
      <w:szCs w:val="20"/>
      <w:u w:val="none"/>
    </w:rPr>
  </w:style>
  <w:style w:type="character" w:customStyle="1" w:styleId="28">
    <w:name w:val="font31"/>
    <w:basedOn w:val="18"/>
    <w:qFormat/>
    <w:uiPriority w:val="0"/>
    <w:rPr>
      <w:rFonts w:hint="eastAsia" w:ascii="仿宋_GB2312" w:eastAsia="仿宋_GB2312" w:cs="仿宋_GB2312"/>
      <w:color w:val="000000"/>
      <w:sz w:val="24"/>
      <w:szCs w:val="24"/>
      <w:u w:val="none"/>
    </w:rPr>
  </w:style>
  <w:style w:type="character" w:customStyle="1" w:styleId="29">
    <w:name w:val="页脚 字符"/>
    <w:link w:val="9"/>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4011</Words>
  <Characters>4101</Characters>
  <Lines>35</Lines>
  <Paragraphs>9</Paragraphs>
  <TotalTime>33</TotalTime>
  <ScaleCrop>false</ScaleCrop>
  <LinksUpToDate>false</LinksUpToDate>
  <CharactersWithSpaces>4127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2023-01-19T18:11:00Z</dcterms:created>
  <dc:creator>Administrator.N97KMITZR9SZ22Z</dc:creator>
  <cp:lastModifiedBy>Administrator</cp:lastModifiedBy>
  <cp:lastPrinted>2023-02-22T16:11:00Z</cp:lastPrinted>
  <dcterms:modified xsi:type="dcterms:W3CDTF">2023-02-26T08:44:29Z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D2C66DFC5DE64680B66536BB25B723C1</vt:lpwstr>
  </property>
</Properties>
</file>