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9"/>
        <w:tblW w:w="105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92"/>
        <w:gridCol w:w="41"/>
        <w:gridCol w:w="8"/>
        <w:gridCol w:w="527"/>
        <w:gridCol w:w="739"/>
        <w:gridCol w:w="333"/>
        <w:gridCol w:w="1000"/>
        <w:gridCol w:w="417"/>
        <w:gridCol w:w="1033"/>
        <w:gridCol w:w="277"/>
        <w:gridCol w:w="24"/>
        <w:gridCol w:w="1316"/>
        <w:gridCol w:w="59"/>
        <w:gridCol w:w="425"/>
        <w:gridCol w:w="975"/>
        <w:gridCol w:w="343"/>
        <w:gridCol w:w="37"/>
        <w:gridCol w:w="663"/>
        <w:gridCol w:w="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505" w:type="dxa"/>
            <w:gridSpan w:val="19"/>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6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9"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吴文</w:t>
            </w:r>
          </w:p>
        </w:tc>
        <w:tc>
          <w:tcPr>
            <w:tcW w:w="279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939"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88999442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6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9"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279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939"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19" w:hRule="atLeast"/>
        </w:trPr>
        <w:tc>
          <w:tcPr>
            <w:tcW w:w="196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537" w:type="dxa"/>
            <w:gridSpan w:val="15"/>
            <w:vAlign w:val="center"/>
          </w:tcPr>
          <w:p>
            <w:pPr>
              <w:autoSpaceDN w:val="0"/>
              <w:spacing w:line="40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1、对国有金融机构的资产、负债、损益，进行审计监督。2、对国家的事业组织和使用财政资金的其他事业组织的财务收支，进行审计监督。3、对本级各部门(含直属单位)和下级政府预算的执行情况和决算以及其他财政收支情况，进行审计监督。4、对本级预算执行情况和其他财政收支情况进行审计监督，向本级人民政府和上一级审计机关提出审计结果报告。5、对政府投资和以政府投资为主的建设项目的预算执行情况和决算，进行审计监督。6、对国有企业的资产、负债、损益，进行审计监督。7、对国有资本占控股地位或者主导地位的企业、金融机构的审计监督。8、对国际组织和外国政府援助、贷款项目的财务收支，进行审计监督。9、对国家机关和依法属于审计机关审计监督对象的其他单位的主要负责人，在任职期间对本地区、本部门或者本单位的财政收支、财务收支以及有关经济活动应负经济责任的履行情况，进行审计监督。10、对政府部门管理的和其他单位受政府委托管理的社会保障基金、社会捐赠资金以及其他有关基金、资金的财务收支，进行审计监督。11、除</w:t>
            </w:r>
            <w:r>
              <w:rPr>
                <w:rFonts w:hint="eastAsia" w:ascii="仿宋_GB2312" w:hAnsi="仿宋_GB2312" w:eastAsia="仿宋_GB2312" w:cs="仿宋_GB2312"/>
                <w:color w:val="000000"/>
                <w:sz w:val="24"/>
                <w:lang w:eastAsia="zh-CN"/>
              </w:rPr>
              <w:t>《中华人民共和国审计法》</w:t>
            </w:r>
            <w:r>
              <w:rPr>
                <w:rFonts w:ascii="仿宋_GB2312" w:hAnsi="仿宋_GB2312" w:eastAsia="仿宋_GB2312" w:cs="仿宋_GB2312"/>
                <w:color w:val="000000"/>
                <w:sz w:val="24"/>
              </w:rPr>
              <w:t>规定的审计事项外，审计机关对其他法律、行政法规规定应当由审计机关进行审计的事项，依照</w:t>
            </w:r>
            <w:r>
              <w:rPr>
                <w:rFonts w:hint="eastAsia" w:ascii="仿宋_GB2312" w:hAnsi="仿宋_GB2312" w:eastAsia="仿宋_GB2312" w:cs="仿宋_GB2312"/>
                <w:color w:val="000000"/>
                <w:sz w:val="24"/>
                <w:lang w:eastAsia="zh-CN"/>
              </w:rPr>
              <w:t>《中华人民共和国审计法》</w:t>
            </w:r>
            <w:bookmarkStart w:id="0" w:name="_GoBack"/>
            <w:bookmarkEnd w:id="0"/>
            <w:r>
              <w:rPr>
                <w:rFonts w:ascii="仿宋_GB2312" w:hAnsi="仿宋_GB2312" w:eastAsia="仿宋_GB2312" w:cs="仿宋_GB2312"/>
                <w:color w:val="000000"/>
                <w:sz w:val="24"/>
              </w:rPr>
              <w:t>和有关法律、行政法规的规定进行审计监督。12、对与国家财政收支有关的特定事项，向有关地方、部门、单位进行专项审计调查，并向本级人民政府和上一级审计机关报告审计调查结果。13、社会审计机构审计的单位依法属于审计机关审计监督对象的，审计机关按照国务院的规定，有权对该社会审计机构出具的相关审计报告进行核查。</w:t>
            </w:r>
            <w:r>
              <w:rPr>
                <w:rFonts w:hint="eastAsia" w:ascii="宋体" w:hAnsi="宋体" w:cs="宋体"/>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08" w:hRule="atLeast"/>
        </w:trPr>
        <w:tc>
          <w:tcPr>
            <w:tcW w:w="196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年度主要工作内容</w:t>
            </w:r>
          </w:p>
        </w:tc>
        <w:tc>
          <w:tcPr>
            <w:tcW w:w="8537" w:type="dxa"/>
            <w:gridSpan w:val="15"/>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2018年全面完成了审计项目82个（含62个政府投资审计项目）。共</w:t>
            </w:r>
            <w:r>
              <w:rPr>
                <w:rFonts w:hint="eastAsia" w:ascii="仿宋_GB2312" w:hAnsi="仿宋_GB2312" w:eastAsia="仿宋_GB2312" w:cs="仿宋_GB2312"/>
                <w:color w:val="000000"/>
                <w:sz w:val="24"/>
                <w:lang w:eastAsia="zh-CN"/>
              </w:rPr>
              <w:t>查处</w:t>
            </w:r>
            <w:r>
              <w:rPr>
                <w:rFonts w:hint="eastAsia" w:ascii="仿宋_GB2312" w:hAnsi="仿宋_GB2312" w:eastAsia="仿宋_GB2312" w:cs="仿宋_GB2312"/>
                <w:color w:val="000000"/>
                <w:sz w:val="24"/>
              </w:rPr>
              <w:t>违规金额338万元，管理不规范金额8.08亿元，核减工程造价6888万元，移送案件线索6条，提出审计建议62条，累计报送审计信息45篇，公开发表和采用33篇，其中在国家级刊物发表12篇，在省级刊物发表3篇，被市级刊物和网站采用18篇，区级刊物采用5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24" w:hRule="atLeast"/>
        </w:trPr>
        <w:tc>
          <w:tcPr>
            <w:tcW w:w="196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8537" w:type="dxa"/>
            <w:gridSpan w:val="15"/>
            <w:vAlign w:val="center"/>
          </w:tcPr>
          <w:p>
            <w:pPr>
              <w:spacing w:line="40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我局保持了“省级文明单位”、“岳麓区反腐倡廉建设先进单位”等荣誉，并获评为长沙市审计系统目标考核先进单位，在2018年度绩效考核中荣获社会发展类一等奖，“三服务”一线工作一类单位。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505" w:type="dxa"/>
            <w:gridSpan w:val="19"/>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505" w:type="dxa"/>
            <w:gridSpan w:val="19"/>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15" w:type="dxa"/>
            <w:gridSpan w:val="4"/>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798" w:type="dxa"/>
            <w:gridSpan w:val="14"/>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Merge w:val="continue"/>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15" w:type="dxa"/>
            <w:gridSpan w:val="4"/>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50"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617"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3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559"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trPr>
        <w:tc>
          <w:tcPr>
            <w:tcW w:w="1392" w:type="dxa"/>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315" w:type="dxa"/>
            <w:gridSpan w:val="4"/>
            <w:tcBorders>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923.93</w:t>
            </w:r>
          </w:p>
        </w:tc>
        <w:tc>
          <w:tcPr>
            <w:tcW w:w="1333" w:type="dxa"/>
            <w:gridSpan w:val="2"/>
            <w:tcBorders>
              <w:lef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121.2</w:t>
            </w:r>
          </w:p>
        </w:tc>
        <w:tc>
          <w:tcPr>
            <w:tcW w:w="1450"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802.73</w:t>
            </w:r>
          </w:p>
        </w:tc>
        <w:tc>
          <w:tcPr>
            <w:tcW w:w="1617" w:type="dxa"/>
            <w:gridSpan w:val="3"/>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83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559"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315" w:type="dxa"/>
            <w:gridSpan w:val="4"/>
            <w:tcBorders>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450"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617" w:type="dxa"/>
            <w:gridSpan w:val="3"/>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83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559"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15" w:type="dxa"/>
            <w:gridSpan w:val="4"/>
            <w:tcBorders>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450"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617" w:type="dxa"/>
            <w:gridSpan w:val="3"/>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83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559"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392"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15" w:type="dxa"/>
            <w:gridSpan w:val="4"/>
            <w:tcBorders>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450"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617" w:type="dxa"/>
            <w:gridSpan w:val="3"/>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183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559" w:type="dxa"/>
            <w:gridSpan w:val="2"/>
            <w:vAlign w:val="center"/>
          </w:tcPr>
          <w:p>
            <w:pPr>
              <w:autoSpaceDN w:val="0"/>
              <w:spacing w:line="40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0505" w:type="dxa"/>
            <w:gridSpan w:val="19"/>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Merge w:val="restart"/>
            <w:vAlign w:val="center"/>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74" w:type="dxa"/>
            <w:gridSpan w:val="3"/>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6202" w:type="dxa"/>
            <w:gridSpan w:val="11"/>
            <w:tcBorders>
              <w:left w:val="single" w:color="auto" w:sz="4" w:space="0"/>
              <w:bottom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96" w:type="dxa"/>
            <w:gridSpan w:val="3"/>
            <w:tcBorders>
              <w:left w:val="single" w:color="auto" w:sz="4" w:space="0"/>
              <w:bottom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Merge w:val="continue"/>
            <w:vAlign w:val="center"/>
          </w:tcPr>
          <w:p>
            <w:pPr>
              <w:spacing w:line="400" w:lineRule="exact"/>
              <w:jc w:val="center"/>
              <w:rPr>
                <w:rFonts w:ascii="仿宋_GB2312" w:hAnsi="仿宋_GB2312" w:eastAsia="仿宋_GB2312" w:cs="仿宋_GB2312"/>
                <w:sz w:val="24"/>
              </w:rPr>
            </w:pPr>
          </w:p>
        </w:tc>
        <w:tc>
          <w:tcPr>
            <w:tcW w:w="1274"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vMerge w:val="restart"/>
            <w:tcBorders>
              <w:top w:val="single" w:color="auto" w:sz="4" w:space="0"/>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551" w:type="dxa"/>
            <w:gridSpan w:val="7"/>
            <w:tcBorders>
              <w:top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18" w:type="dxa"/>
            <w:gridSpan w:val="2"/>
            <w:vMerge w:val="restart"/>
            <w:tcBorders>
              <w:top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00" w:type="dxa"/>
            <w:gridSpan w:val="2"/>
            <w:vMerge w:val="restart"/>
            <w:tcBorders>
              <w:top w:val="single" w:color="auto" w:sz="4" w:space="0"/>
              <w:left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96" w:type="dxa"/>
            <w:vMerge w:val="restart"/>
            <w:tcBorders>
              <w:top w:val="single" w:color="auto" w:sz="4" w:space="0"/>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Merge w:val="continue"/>
            <w:vAlign w:val="center"/>
          </w:tcPr>
          <w:p>
            <w:pPr>
              <w:spacing w:line="400" w:lineRule="exact"/>
              <w:jc w:val="center"/>
              <w:rPr>
                <w:rFonts w:ascii="仿宋_GB2312" w:hAnsi="仿宋_GB2312" w:eastAsia="仿宋_GB2312" w:cs="仿宋_GB2312"/>
                <w:sz w:val="24"/>
              </w:rPr>
            </w:pPr>
          </w:p>
        </w:tc>
        <w:tc>
          <w:tcPr>
            <w:tcW w:w="1274"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vMerge w:val="continue"/>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0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318" w:type="dxa"/>
            <w:gridSpan w:val="2"/>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00" w:type="dxa"/>
            <w:gridSpan w:val="2"/>
            <w:vMerge w:val="continue"/>
            <w:tcBorders>
              <w:left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896" w:type="dxa"/>
            <w:vMerge w:val="continue"/>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896.07</w:t>
            </w: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528.73</w:t>
            </w:r>
          </w:p>
        </w:tc>
        <w:tc>
          <w:tcPr>
            <w:tcW w:w="1751"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494.75</w:t>
            </w:r>
          </w:p>
        </w:tc>
        <w:tc>
          <w:tcPr>
            <w:tcW w:w="180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33.98</w:t>
            </w:r>
          </w:p>
        </w:tc>
        <w:tc>
          <w:tcPr>
            <w:tcW w:w="1318"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367.34</w:t>
            </w:r>
          </w:p>
        </w:tc>
        <w:tc>
          <w:tcPr>
            <w:tcW w:w="700" w:type="dxa"/>
            <w:gridSpan w:val="2"/>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27.86</w:t>
            </w:r>
          </w:p>
        </w:tc>
        <w:tc>
          <w:tcPr>
            <w:tcW w:w="896" w:type="dxa"/>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896.07</w:t>
            </w: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528.73</w:t>
            </w:r>
          </w:p>
        </w:tc>
        <w:tc>
          <w:tcPr>
            <w:tcW w:w="1751"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494.75</w:t>
            </w:r>
          </w:p>
        </w:tc>
        <w:tc>
          <w:tcPr>
            <w:tcW w:w="180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33.98</w:t>
            </w:r>
          </w:p>
        </w:tc>
        <w:tc>
          <w:tcPr>
            <w:tcW w:w="1318"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367.34</w:t>
            </w:r>
          </w:p>
        </w:tc>
        <w:tc>
          <w:tcPr>
            <w:tcW w:w="700" w:type="dxa"/>
            <w:gridSpan w:val="2"/>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27.86</w:t>
            </w:r>
          </w:p>
        </w:tc>
        <w:tc>
          <w:tcPr>
            <w:tcW w:w="896" w:type="dxa"/>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18"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00" w:type="dxa"/>
            <w:gridSpan w:val="2"/>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896" w:type="dxa"/>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18"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700" w:type="dxa"/>
            <w:gridSpan w:val="2"/>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896" w:type="dxa"/>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Merge w:val="restar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74" w:type="dxa"/>
            <w:gridSpan w:val="3"/>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798" w:type="dxa"/>
            <w:gridSpan w:val="14"/>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Merge w:val="continue"/>
            <w:vAlign w:val="center"/>
          </w:tcPr>
          <w:p>
            <w:pPr>
              <w:spacing w:line="400" w:lineRule="exact"/>
              <w:jc w:val="center"/>
              <w:rPr>
                <w:rFonts w:ascii="仿宋_GB2312" w:hAnsi="仿宋_GB2312" w:eastAsia="仿宋_GB2312" w:cs="仿宋_GB2312"/>
                <w:sz w:val="24"/>
              </w:rPr>
            </w:pPr>
          </w:p>
        </w:tc>
        <w:tc>
          <w:tcPr>
            <w:tcW w:w="1274"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51"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0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914"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2.36</w:t>
            </w: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751"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2.36</w:t>
            </w:r>
          </w:p>
        </w:tc>
        <w:tc>
          <w:tcPr>
            <w:tcW w:w="180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914"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2.36</w:t>
            </w: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751"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2.36</w:t>
            </w:r>
          </w:p>
        </w:tc>
        <w:tc>
          <w:tcPr>
            <w:tcW w:w="180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914"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914"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333" w:type="dxa"/>
            <w:gridSpan w:val="2"/>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751"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800"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914"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Merge w:val="restar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274" w:type="dxa"/>
            <w:gridSpan w:val="3"/>
            <w:vMerge w:val="restart"/>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202" w:type="dxa"/>
            <w:gridSpan w:val="11"/>
            <w:tcBorders>
              <w:left w:val="single" w:color="auto" w:sz="4" w:space="0"/>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96" w:type="dxa"/>
            <w:gridSpan w:val="3"/>
            <w:vMerge w:val="restart"/>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Merge w:val="continue"/>
            <w:vAlign w:val="center"/>
          </w:tcPr>
          <w:p>
            <w:pPr>
              <w:spacing w:line="400" w:lineRule="exact"/>
              <w:jc w:val="center"/>
              <w:rPr>
                <w:rFonts w:ascii="仿宋_GB2312" w:hAnsi="仿宋_GB2312" w:eastAsia="仿宋_GB2312" w:cs="仿宋_GB2312"/>
                <w:sz w:val="24"/>
              </w:rPr>
            </w:pPr>
          </w:p>
        </w:tc>
        <w:tc>
          <w:tcPr>
            <w:tcW w:w="1274" w:type="dxa"/>
            <w:gridSpan w:val="3"/>
            <w:vMerge w:val="continue"/>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084" w:type="dxa"/>
            <w:gridSpan w:val="6"/>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118" w:type="dxa"/>
            <w:gridSpan w:val="5"/>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596" w:type="dxa"/>
            <w:gridSpan w:val="3"/>
            <w:vMerge w:val="continue"/>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73.88</w:t>
            </w:r>
          </w:p>
        </w:tc>
        <w:tc>
          <w:tcPr>
            <w:tcW w:w="3084" w:type="dxa"/>
            <w:gridSpan w:val="6"/>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73.88</w:t>
            </w:r>
          </w:p>
        </w:tc>
        <w:tc>
          <w:tcPr>
            <w:tcW w:w="3118"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596"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73.88</w:t>
            </w:r>
          </w:p>
        </w:tc>
        <w:tc>
          <w:tcPr>
            <w:tcW w:w="3084" w:type="dxa"/>
            <w:gridSpan w:val="6"/>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73.88</w:t>
            </w:r>
          </w:p>
        </w:tc>
        <w:tc>
          <w:tcPr>
            <w:tcW w:w="3118"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596"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084" w:type="dxa"/>
            <w:gridSpan w:val="6"/>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118"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596"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trPr>
        <w:tc>
          <w:tcPr>
            <w:tcW w:w="1433" w:type="dxa"/>
            <w:gridSpan w:val="2"/>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274" w:type="dxa"/>
            <w:gridSpan w:val="3"/>
            <w:tcBorders>
              <w:righ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084" w:type="dxa"/>
            <w:gridSpan w:val="6"/>
            <w:tcBorders>
              <w:left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118"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596" w:type="dxa"/>
            <w:gridSpan w:val="3"/>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0505" w:type="dxa"/>
            <w:gridSpan w:val="19"/>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3"/>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326" w:type="dxa"/>
            <w:gridSpan w:val="7"/>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38" w:type="dxa"/>
            <w:gridSpan w:val="9"/>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0"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4326" w:type="dxa"/>
            <w:gridSpan w:val="7"/>
            <w:vAlign w:val="center"/>
          </w:tcPr>
          <w:p>
            <w:pPr>
              <w:pStyle w:val="4"/>
              <w:rPr>
                <w:rFonts w:hAnsi="宋体" w:cs="宋体"/>
              </w:rPr>
            </w:pPr>
            <w:r>
              <w:rPr>
                <w:rFonts w:hint="eastAsia" w:hAnsi="宋体" w:cs="宋体"/>
              </w:rPr>
              <w:t>完成年度审计项目计划</w:t>
            </w:r>
          </w:p>
        </w:tc>
        <w:tc>
          <w:tcPr>
            <w:tcW w:w="4738" w:type="dxa"/>
            <w:gridSpan w:val="9"/>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全面完成年度审计项目计划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441" w:type="dxa"/>
            <w:gridSpan w:val="3"/>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c>
          <w:tcPr>
            <w:tcW w:w="3016"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339"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（部门工作实绩，即岳发〔2014〕7号文件附件3中1-5项考核内容，根据部门实际进行调整细化）</w:t>
            </w: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指标1：深化预算执行审计，提高财政资金绩效</w:t>
            </w:r>
          </w:p>
        </w:tc>
        <w:tc>
          <w:tcPr>
            <w:tcW w:w="3339" w:type="dxa"/>
            <w:gridSpan w:val="6"/>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拓展了</w:t>
            </w:r>
            <w:r>
              <w:rPr>
                <w:rFonts w:ascii="仿宋_GB2312" w:hAnsi="仿宋_GB2312" w:eastAsia="仿宋_GB2312" w:cs="仿宋_GB2312"/>
                <w:color w:val="000000"/>
                <w:sz w:val="24"/>
              </w:rPr>
              <w:t>审计</w:t>
            </w:r>
            <w:r>
              <w:rPr>
                <w:rFonts w:hint="eastAsia" w:ascii="仿宋_GB2312" w:hAnsi="仿宋_GB2312" w:eastAsia="仿宋_GB2312" w:cs="仿宋_GB2312"/>
                <w:color w:val="000000"/>
                <w:sz w:val="24"/>
              </w:rPr>
              <w:t>宽度，延伸了</w:t>
            </w:r>
            <w:r>
              <w:rPr>
                <w:rFonts w:ascii="仿宋_GB2312" w:hAnsi="仿宋_GB2312" w:eastAsia="仿宋_GB2312" w:cs="仿宋_GB2312"/>
                <w:color w:val="000000"/>
                <w:sz w:val="24"/>
              </w:rPr>
              <w:t>审计</w:t>
            </w:r>
            <w:r>
              <w:rPr>
                <w:rFonts w:hint="eastAsia" w:ascii="仿宋_GB2312" w:hAnsi="仿宋_GB2312" w:eastAsia="仿宋_GB2312" w:cs="仿宋_GB2312"/>
                <w:color w:val="000000"/>
                <w:sz w:val="24"/>
              </w:rPr>
              <w:t>深度</w:t>
            </w:r>
            <w:r>
              <w:rPr>
                <w:rFonts w:ascii="仿宋_GB2312" w:hAnsi="仿宋_GB2312" w:eastAsia="仿宋_GB2312" w:cs="仿宋_GB2312"/>
                <w:color w:val="000000"/>
                <w:sz w:val="24"/>
              </w:rPr>
              <w:t>创新</w:t>
            </w:r>
            <w:r>
              <w:rPr>
                <w:rFonts w:hint="eastAsia" w:ascii="仿宋_GB2312" w:hAnsi="仿宋_GB2312" w:eastAsia="仿宋_GB2312" w:cs="仿宋_GB2312"/>
                <w:color w:val="000000"/>
                <w:sz w:val="24"/>
              </w:rPr>
              <w:t>了</w:t>
            </w:r>
            <w:r>
              <w:rPr>
                <w:rFonts w:ascii="仿宋_GB2312" w:hAnsi="仿宋_GB2312" w:eastAsia="仿宋_GB2312" w:cs="仿宋_GB2312"/>
                <w:color w:val="000000"/>
                <w:sz w:val="24"/>
              </w:rPr>
              <w:t>审计方式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spacing w:line="400" w:lineRule="exact"/>
              <w:rPr>
                <w:rFonts w:ascii="仿宋_GB2312" w:hAnsi="仿宋_GB2312" w:eastAsia="仿宋_GB2312" w:cs="仿宋_GB2312"/>
                <w:sz w:val="24"/>
              </w:rPr>
            </w:pP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指标2：强化经济责任审计，规范领导权力运行</w:t>
            </w:r>
          </w:p>
        </w:tc>
        <w:tc>
          <w:tcPr>
            <w:tcW w:w="3339" w:type="dxa"/>
            <w:gridSpan w:val="6"/>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cr/>
            </w:r>
            <w:r>
              <w:rPr>
                <w:rFonts w:hint="eastAsia" w:ascii="仿宋_GB2312" w:hAnsi="仿宋_GB2312" w:eastAsia="仿宋_GB2312" w:cs="仿宋_GB2312"/>
                <w:color w:val="000000"/>
                <w:sz w:val="24"/>
              </w:rPr>
              <w:t>关注了履职绩效情况，拓宽了审计内容，探索了对自然资源环境的审计。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spacing w:line="400" w:lineRule="exact"/>
              <w:rPr>
                <w:rFonts w:ascii="仿宋_GB2312" w:hAnsi="仿宋_GB2312" w:eastAsia="仿宋_GB2312" w:cs="仿宋_GB2312"/>
                <w:sz w:val="24"/>
              </w:rPr>
            </w:pP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指标3：严控政府投资审计，服务重点工程项目建设。</w:t>
            </w:r>
          </w:p>
        </w:tc>
        <w:tc>
          <w:tcPr>
            <w:tcW w:w="3339" w:type="dxa"/>
            <w:gridSpan w:val="6"/>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注重了对项目审计资料的整体把握。注重了对项目审计结论的精准评判。注重了对项目审计规程的规范严格。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宋体" w:hAnsi="宋体" w:cs="宋体"/>
                <w:szCs w:val="21"/>
              </w:rPr>
              <w:t>预算执行审计</w:t>
            </w:r>
          </w:p>
        </w:tc>
        <w:tc>
          <w:tcPr>
            <w:tcW w:w="3339" w:type="dxa"/>
            <w:gridSpan w:val="6"/>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完成了</w:t>
            </w:r>
            <w:r>
              <w:rPr>
                <w:rFonts w:ascii="仿宋_GB2312" w:hAnsi="仿宋_GB2312" w:eastAsia="仿宋_GB2312" w:cs="仿宋_GB2312"/>
                <w:color w:val="000000"/>
                <w:sz w:val="24"/>
              </w:rPr>
              <w:t>对201</w:t>
            </w: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年度区本级财政预算执行、</w:t>
            </w:r>
            <w:r>
              <w:rPr>
                <w:rFonts w:hint="eastAsia" w:ascii="仿宋_GB2312" w:hAnsi="仿宋_GB2312" w:eastAsia="仿宋_GB2312" w:cs="仿宋_GB2312"/>
                <w:color w:val="000000"/>
                <w:sz w:val="24"/>
              </w:rPr>
              <w:t>区卫生和计划生育局、区城市管理和行政执法局2017年度预算执行</w:t>
            </w:r>
            <w:r>
              <w:rPr>
                <w:rFonts w:ascii="仿宋_GB2312" w:hAnsi="仿宋_GB2312" w:eastAsia="仿宋_GB2312" w:cs="仿宋_GB2312"/>
                <w:color w:val="000000"/>
                <w:sz w:val="24"/>
              </w:rPr>
              <w:t>审计</w:t>
            </w:r>
            <w:r>
              <w:rPr>
                <w:rFonts w:hint="eastAsia" w:ascii="仿宋_GB2312" w:hAnsi="仿宋_GB2312" w:eastAsia="仿宋_GB2312" w:cs="仿宋_GB2312"/>
                <w:color w:val="000000"/>
                <w:sz w:val="24"/>
              </w:rPr>
              <w:t>， 对全区2017年度社区惠民专项资金和居家养老资金、2017年度国有资本经营预算及预算执行情况进行了专项审计调查。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宋体" w:hAnsi="宋体" w:cs="宋体"/>
                <w:szCs w:val="21"/>
              </w:rPr>
              <w:t>经济责任审计</w:t>
            </w:r>
          </w:p>
        </w:tc>
        <w:tc>
          <w:tcPr>
            <w:tcW w:w="3339" w:type="dxa"/>
            <w:gridSpan w:val="6"/>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对6个单位8名党政主要领导干部进行了任期经济责任审计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宋体" w:hAnsi="宋体" w:cs="宋体"/>
                <w:szCs w:val="21"/>
              </w:rPr>
              <w:t>指标3：政府投资审计</w:t>
            </w:r>
          </w:p>
        </w:tc>
        <w:tc>
          <w:tcPr>
            <w:tcW w:w="3339" w:type="dxa"/>
            <w:gridSpan w:val="6"/>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62个政府投资审计项目，超额完成年初设定的50个投审项目计划， 核减工程造价6888万元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指标1：完成年度工作计划</w:t>
            </w:r>
          </w:p>
        </w:tc>
        <w:tc>
          <w:tcPr>
            <w:tcW w:w="3339"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宋体" w:hAnsi="宋体" w:cs="宋体"/>
                <w:szCs w:val="21"/>
              </w:rPr>
              <w:t>到位率100 %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3339"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p>
        </w:tc>
        <w:tc>
          <w:tcPr>
            <w:tcW w:w="3339"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宋体" w:hAnsi="宋体" w:cs="宋体"/>
                <w:szCs w:val="21"/>
              </w:rPr>
              <w:t>精简机关运行经费，严格按预算执行</w:t>
            </w:r>
          </w:p>
        </w:tc>
        <w:tc>
          <w:tcPr>
            <w:tcW w:w="3339" w:type="dxa"/>
            <w:gridSpan w:val="6"/>
            <w:vAlign w:val="center"/>
          </w:tcPr>
          <w:p>
            <w:pPr>
              <w:autoSpaceDN w:val="0"/>
              <w:spacing w:line="400" w:lineRule="exact"/>
              <w:textAlignment w:val="center"/>
              <w:rPr>
                <w:rFonts w:ascii="仿宋_GB2312" w:hAnsi="仿宋_GB2312" w:eastAsia="仿宋_GB2312" w:cs="仿宋_GB2312"/>
                <w:b/>
                <w:color w:val="000000"/>
                <w:sz w:val="24"/>
              </w:rPr>
            </w:pPr>
            <w:r>
              <w:rPr>
                <w:rFonts w:hint="eastAsia" w:ascii="宋体" w:hAnsi="宋体" w:cs="宋体"/>
                <w:szCs w:val="21"/>
              </w:rPr>
              <w:t>三公经费2018年在2017年的基础上压缩35.31 %</w:t>
            </w:r>
            <w:r>
              <w:rPr>
                <w:rFonts w:hint="eastAsia" w:ascii="宋体" w:hAnsi="宋体" w:cs="宋体"/>
                <w:szCs w:val="21"/>
              </w:rPr>
              <w:c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指标2： </w:t>
            </w:r>
          </w:p>
        </w:tc>
        <w:tc>
          <w:tcPr>
            <w:tcW w:w="3339"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宋体" w:hAnsi="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339"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vAlign w:val="center"/>
          </w:tcPr>
          <w:p>
            <w:pPr>
              <w:pStyle w:val="4"/>
              <w:rPr>
                <w:rFonts w:hAnsi="宋体" w:cs="宋体"/>
              </w:rPr>
            </w:pPr>
            <w:r>
              <w:rPr>
                <w:rFonts w:hint="eastAsia" w:ascii="仿宋_GB2312" w:hAnsi="仿宋_GB2312" w:eastAsia="仿宋_GB2312" w:cs="仿宋_GB2312"/>
                <w:color w:val="000000"/>
                <w:sz w:val="24"/>
              </w:rPr>
              <w:t>指标1：</w:t>
            </w:r>
            <w:r>
              <w:rPr>
                <w:rFonts w:hint="eastAsia" w:hAnsi="宋体" w:cs="宋体"/>
              </w:rPr>
              <w:t xml:space="preserve"> </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ascii="仿宋_GB2312" w:hAnsi="仿宋_GB2312" w:eastAsia="仿宋_GB2312" w:cs="仿宋_GB2312"/>
                <w:color w:val="000000"/>
                <w:sz w:val="24"/>
              </w:rPr>
              <w:t xml:space="preserve"> </w:t>
            </w:r>
          </w:p>
          <w:p>
            <w:pPr>
              <w:pStyle w:val="4"/>
              <w:rPr>
                <w:rFonts w:hAnsi="宋体" w:cs="宋体"/>
              </w:rPr>
            </w:pPr>
            <w:r>
              <w:rPr>
                <w:rFonts w:hint="eastAsia" w:ascii="仿宋_GB2312" w:hAnsi="仿宋_GB2312" w:eastAsia="仿宋_GB2312" w:cs="仿宋_GB2312"/>
                <w:color w:val="000000"/>
                <w:sz w:val="24"/>
              </w:rPr>
              <w:t>指标3：</w:t>
            </w:r>
            <w:r>
              <w:rPr>
                <w:rFonts w:hint="eastAsia" w:hAnsi="宋体" w:cs="宋体"/>
              </w:rPr>
              <w:t xml:space="preserve"> </w:t>
            </w:r>
          </w:p>
        </w:tc>
        <w:tc>
          <w:tcPr>
            <w:tcW w:w="3339" w:type="dxa"/>
            <w:gridSpan w:val="6"/>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2018年审计移送案件线索6条，提出审计建议62条，累计报送审计信息45篇，公开发表和采用33篇，其中在国家级刊物发表12篇，在省级刊物发表3篇，被市级刊物和网站采用18篇，区级刊物采用5篇。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指标1：指标2：</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339"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2018年审计项目</w:t>
            </w:r>
            <w:r>
              <w:rPr>
                <w:rFonts w:hint="eastAsia" w:ascii="仿宋_GB2312" w:hAnsi="仿宋_GB2312" w:eastAsia="仿宋_GB2312" w:cs="仿宋_GB2312"/>
                <w:color w:val="000000"/>
                <w:sz w:val="24"/>
                <w:lang w:eastAsia="zh-CN"/>
              </w:rPr>
              <w:t>查处</w:t>
            </w:r>
            <w:r>
              <w:rPr>
                <w:rFonts w:hint="eastAsia" w:ascii="仿宋_GB2312" w:hAnsi="仿宋_GB2312" w:eastAsia="仿宋_GB2312" w:cs="仿宋_GB2312"/>
                <w:color w:val="000000"/>
                <w:sz w:val="24"/>
              </w:rPr>
              <w:t>违规金额338万元，管理不规范金额8.08亿元，核减工程造价6888万元，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339" w:type="dxa"/>
            <w:gridSpan w:val="6"/>
            <w:vAlign w:val="center"/>
          </w:tcPr>
          <w:p>
            <w:pPr>
              <w:autoSpaceDN w:val="0"/>
              <w:spacing w:line="40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2018年我局对雨敞坪镇自然资源和资产进行了审计，取得很好的成效。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441" w:type="dxa"/>
            <w:gridSpan w:val="3"/>
            <w:vMerge w:val="continue"/>
            <w:vAlign w:val="center"/>
          </w:tcPr>
          <w:p>
            <w:pPr>
              <w:spacing w:line="400" w:lineRule="exact"/>
              <w:rPr>
                <w:rFonts w:ascii="仿宋_GB2312" w:hAnsi="仿宋_GB2312" w:eastAsia="仿宋_GB2312" w:cs="仿宋_GB2312"/>
                <w:sz w:val="24"/>
              </w:rPr>
            </w:pPr>
          </w:p>
        </w:tc>
        <w:tc>
          <w:tcPr>
            <w:tcW w:w="1599" w:type="dxa"/>
            <w:gridSpan w:val="3"/>
            <w:vMerge w:val="continue"/>
            <w:vAlign w:val="center"/>
          </w:tcPr>
          <w:p>
            <w:pPr>
              <w:autoSpaceDN w:val="0"/>
              <w:spacing w:line="400" w:lineRule="exact"/>
              <w:rPr>
                <w:rFonts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指标1： </w:t>
            </w:r>
          </w:p>
          <w:p>
            <w:pPr>
              <w:pStyle w:val="4"/>
              <w:rPr>
                <w:rFonts w:hAnsi="宋体" w:cs="宋体"/>
              </w:rPr>
            </w:pPr>
            <w:r>
              <w:rPr>
                <w:rFonts w:hint="eastAsia" w:ascii="仿宋_GB2312" w:hAnsi="仿宋_GB2312" w:eastAsia="仿宋_GB2312" w:cs="仿宋_GB2312"/>
                <w:color w:val="000000"/>
                <w:sz w:val="24"/>
              </w:rPr>
              <w:t>指标2：</w:t>
            </w:r>
            <w:r>
              <w:rPr>
                <w:rFonts w:hint="eastAsia" w:hAnsi="宋体" w:cs="宋体"/>
              </w:rPr>
              <w:t xml:space="preserve"> </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3339"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宋体" w:hAnsi="宋体" w:cs="宋体"/>
                <w:szCs w:val="21"/>
              </w:rPr>
              <w:cr/>
            </w:r>
            <w:r>
              <w:rPr>
                <w:rFonts w:hint="eastAsia" w:ascii="宋体" w:hAnsi="宋体" w:cs="宋体"/>
                <w:szCs w:val="21"/>
              </w:rPr>
              <w:t>满意度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3040"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465" w:type="dxa"/>
            <w:gridSpan w:val="1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3040"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465" w:type="dxa"/>
            <w:gridSpan w:val="13"/>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0505" w:type="dxa"/>
            <w:gridSpan w:val="19"/>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trPr>
        <w:tc>
          <w:tcPr>
            <w:tcW w:w="196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99"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939"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6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799"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9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939"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6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799"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9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939"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6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799"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9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939"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trPr>
        <w:tc>
          <w:tcPr>
            <w:tcW w:w="1968"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799"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99" w:type="dxa"/>
            <w:gridSpan w:val="5"/>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939"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7" w:hRule="atLeast"/>
        </w:trPr>
        <w:tc>
          <w:tcPr>
            <w:tcW w:w="10505" w:type="dxa"/>
            <w:gridSpan w:val="19"/>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4" w:hRule="atLeast"/>
        </w:trPr>
        <w:tc>
          <w:tcPr>
            <w:tcW w:w="10505" w:type="dxa"/>
            <w:gridSpan w:val="19"/>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66" w:hRule="atLeast"/>
        </w:trPr>
        <w:tc>
          <w:tcPr>
            <w:tcW w:w="10505" w:type="dxa"/>
            <w:gridSpan w:val="19"/>
            <w:vAlign w:val="center"/>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autoSpaceDN w:val="0"/>
              <w:spacing w:line="40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10422" w:type="dxa"/>
          </w:tcPr>
          <w:p>
            <w:pPr>
              <w:pStyle w:val="4"/>
              <w:rPr>
                <w:rFonts w:hAnsi="宋体" w:cs="宋体"/>
                <w:sz w:val="28"/>
                <w:szCs w:val="28"/>
              </w:rPr>
            </w:pPr>
            <w:r>
              <w:rPr>
                <w:rFonts w:hint="eastAsia" w:hAnsi="宋体" w:cs="宋体"/>
                <w:sz w:val="28"/>
                <w:szCs w:val="28"/>
              </w:rPr>
              <w:t>五、评价报告综述（文字部分）</w:t>
            </w:r>
          </w:p>
          <w:p>
            <w:pPr>
              <w:pStyle w:val="4"/>
              <w:ind w:firstLine="550" w:firstLineChars="200"/>
              <w:rPr>
                <w:rFonts w:hAnsi="宋体" w:cs="宋体"/>
                <w:sz w:val="28"/>
                <w:szCs w:val="28"/>
              </w:rPr>
            </w:pPr>
            <w:r>
              <w:rPr>
                <w:rFonts w:hint="eastAsia" w:hAnsi="宋体" w:cs="宋体"/>
                <w:sz w:val="28"/>
                <w:szCs w:val="28"/>
              </w:rPr>
              <w:t>一、部门（单位）概况</w:t>
            </w:r>
          </w:p>
          <w:p>
            <w:pPr>
              <w:pStyle w:val="4"/>
              <w:ind w:firstLine="275" w:firstLineChars="100"/>
              <w:rPr>
                <w:rFonts w:hAnsi="宋体" w:cs="宋体"/>
                <w:sz w:val="28"/>
                <w:szCs w:val="28"/>
              </w:rPr>
            </w:pPr>
            <w:r>
              <w:rPr>
                <w:rFonts w:hint="eastAsia" w:hAnsi="宋体" w:cs="宋体"/>
                <w:sz w:val="28"/>
                <w:szCs w:val="28"/>
              </w:rPr>
              <w:t>（一）岳麓区审计局是主管全区审计工作的区人民政府工作机构，有2个非独立事业编制机构（区内审指导站和区政府投资审计评审中心）。</w:t>
            </w:r>
          </w:p>
          <w:p>
            <w:pPr>
              <w:pStyle w:val="4"/>
              <w:rPr>
                <w:rFonts w:hAnsi="宋体" w:cs="宋体"/>
                <w:sz w:val="28"/>
                <w:szCs w:val="28"/>
              </w:rPr>
            </w:pPr>
            <w:r>
              <w:rPr>
                <w:rFonts w:hint="eastAsia" w:hAnsi="宋体" w:cs="宋体"/>
                <w:sz w:val="28"/>
                <w:szCs w:val="28"/>
              </w:rPr>
              <w:t>　 （二）2018年区财政批复部门预算为644.04万元，后追加预算158.69万元，实际拨付到位金额为802.73万元，指标合计为802.73万元。另有其他收入0万元，收入合计802.73万元，2017年决算支出为896.07万元，指标结余27.86万元。</w:t>
            </w:r>
          </w:p>
          <w:p>
            <w:pPr>
              <w:pStyle w:val="4"/>
              <w:rPr>
                <w:rFonts w:hAnsi="宋体" w:cs="宋体"/>
                <w:sz w:val="28"/>
                <w:szCs w:val="28"/>
              </w:rPr>
            </w:pPr>
            <w:r>
              <w:rPr>
                <w:rFonts w:hint="eastAsia" w:hAnsi="宋体" w:cs="宋体"/>
                <w:sz w:val="28"/>
                <w:szCs w:val="28"/>
              </w:rPr>
              <w:t>　　2018年决算总支出896.07万元，其中工资福利支出544.99万元、商品和服务支出344.58万元、对个人和家庭的补助5.31万元、其他资本性支出1.18万元。上述决算支出中基本支出528.73万元，项目支出367.34万元。</w:t>
            </w:r>
          </w:p>
          <w:p>
            <w:pPr>
              <w:pStyle w:val="4"/>
              <w:ind w:firstLine="825" w:firstLineChars="300"/>
              <w:rPr>
                <w:rFonts w:hAnsi="宋体" w:cs="宋体"/>
                <w:sz w:val="28"/>
                <w:szCs w:val="28"/>
              </w:rPr>
            </w:pPr>
            <w:r>
              <w:rPr>
                <w:rFonts w:hint="eastAsia" w:hAnsi="宋体" w:cs="宋体"/>
                <w:sz w:val="28"/>
                <w:szCs w:val="28"/>
              </w:rPr>
              <w:t>二、部门（单位）整体支出管理及使用情况</w:t>
            </w:r>
          </w:p>
          <w:p>
            <w:pPr>
              <w:pStyle w:val="4"/>
              <w:ind w:firstLine="550" w:firstLineChars="200"/>
              <w:rPr>
                <w:rFonts w:hAnsi="宋体" w:cs="宋体"/>
                <w:sz w:val="28"/>
                <w:szCs w:val="28"/>
              </w:rPr>
            </w:pPr>
            <w:r>
              <w:rPr>
                <w:rFonts w:hint="eastAsia" w:hAnsi="宋体" w:cs="宋体"/>
                <w:sz w:val="28"/>
                <w:szCs w:val="28"/>
              </w:rPr>
              <w:t>（一）基本支出</w:t>
            </w:r>
          </w:p>
          <w:p>
            <w:pPr>
              <w:pStyle w:val="4"/>
              <w:rPr>
                <w:rFonts w:hAnsi="宋体" w:cs="宋体"/>
                <w:sz w:val="28"/>
                <w:szCs w:val="28"/>
              </w:rPr>
            </w:pPr>
            <w:r>
              <w:rPr>
                <w:rFonts w:hint="eastAsia" w:hAnsi="宋体" w:cs="宋体"/>
                <w:sz w:val="28"/>
                <w:szCs w:val="28"/>
              </w:rPr>
              <w:t xml:space="preserve">   基本支出528.73万元，系为保障单位机构正常运转、完成日常工作任务而发生的各项支出，主要包括基本工资、津贴补贴等人员经费以及办公费、印刷费、公务用车运行维护费、工会经费、招待费、其它商品服务支出、办公设备购置等日常公用经费。</w:t>
            </w:r>
          </w:p>
          <w:p>
            <w:pPr>
              <w:pStyle w:val="4"/>
              <w:ind w:firstLine="550" w:firstLineChars="200"/>
              <w:rPr>
                <w:rFonts w:hAnsi="宋体" w:cs="宋体"/>
                <w:sz w:val="28"/>
                <w:szCs w:val="28"/>
              </w:rPr>
            </w:pPr>
            <w:r>
              <w:rPr>
                <w:rFonts w:hint="eastAsia" w:hAnsi="宋体" w:cs="宋体"/>
                <w:sz w:val="28"/>
                <w:szCs w:val="28"/>
              </w:rPr>
              <w:t>（二）专项支出</w:t>
            </w:r>
          </w:p>
          <w:p>
            <w:pPr>
              <w:pStyle w:val="4"/>
              <w:rPr>
                <w:rFonts w:hAnsi="宋体" w:cs="宋体"/>
                <w:sz w:val="28"/>
                <w:szCs w:val="28"/>
              </w:rPr>
            </w:pPr>
            <w:r>
              <w:rPr>
                <w:rFonts w:hint="eastAsia" w:hAnsi="宋体" w:cs="宋体"/>
                <w:sz w:val="28"/>
                <w:szCs w:val="28"/>
              </w:rPr>
              <w:t>　   项目支出367.34万元，系单位为完成特定行政工作任务或事业发展目标而发生的支出，主要包括基建审计专项经费、财政联网审计系统建设经费、审计信息系统网络维护经费、上级审计部门审计专项经费、专项业务费等项目，主要用于：1、财政财务收支审计业务工作开展；2、领导干部任期经济责任审计开展；3、政府投资审计开展；4、财政联网审计开展；5、内部审计开展经费。</w:t>
            </w:r>
          </w:p>
          <w:p>
            <w:pPr>
              <w:pStyle w:val="4"/>
              <w:rPr>
                <w:rFonts w:hAnsi="宋体" w:cs="宋体"/>
                <w:sz w:val="28"/>
                <w:szCs w:val="28"/>
              </w:rPr>
            </w:pPr>
            <w:r>
              <w:rPr>
                <w:rFonts w:hint="eastAsia" w:hAnsi="宋体" w:cs="宋体"/>
                <w:sz w:val="28"/>
                <w:szCs w:val="28"/>
              </w:rPr>
              <w:t>　  （三）三公经费</w:t>
            </w:r>
          </w:p>
          <w:p>
            <w:pPr>
              <w:pStyle w:val="4"/>
              <w:rPr>
                <w:rFonts w:hAnsi="宋体" w:cs="宋体"/>
                <w:sz w:val="28"/>
                <w:szCs w:val="28"/>
              </w:rPr>
            </w:pPr>
            <w:r>
              <w:rPr>
                <w:rFonts w:hint="eastAsia" w:hAnsi="宋体" w:cs="宋体"/>
                <w:sz w:val="28"/>
                <w:szCs w:val="28"/>
              </w:rPr>
              <w:t>　　2018年“三公”经费支出合计2.36万元，比预算批复数16.91少14.55万元，在2017年的基础上压缩35.31 %。分项为：因公出国（境）费支出0万元，主要为在全区预算总额控制范围内安排我单位因公出国（境）费用0万元。公务接待费支出 0万元，比预算减少9.5万元，降低100%，支出减少的主要原因为贯彻落实“八项”规定要求，实行预算控制制度，严格控制公务接待数量、规模、接待标准等。公务用车购置0万元，公务用车运行经费支出2.36万元，比预算减少5.05万元，降低38％，支出减少的主要原因为：一是考虑到公务用车制度改革，未购置新车辆；二是加强公务用车管理，严格执行定点加油、定点维修、定点保险等，运行维护费支出大幅减少。</w:t>
            </w:r>
          </w:p>
          <w:p>
            <w:pPr>
              <w:pStyle w:val="4"/>
              <w:ind w:firstLine="550" w:firstLineChars="200"/>
              <w:rPr>
                <w:rFonts w:hAnsi="宋体" w:cs="宋体"/>
                <w:sz w:val="28"/>
                <w:szCs w:val="28"/>
              </w:rPr>
            </w:pPr>
            <w:r>
              <w:rPr>
                <w:rFonts w:hint="eastAsia" w:hAnsi="宋体" w:cs="宋体"/>
                <w:sz w:val="28"/>
                <w:szCs w:val="28"/>
              </w:rPr>
              <w:t>三、部门（单位）专项组织实施情况</w:t>
            </w:r>
          </w:p>
          <w:p>
            <w:pPr>
              <w:pStyle w:val="4"/>
              <w:rPr>
                <w:rFonts w:hAnsi="宋体" w:cs="宋体"/>
                <w:sz w:val="28"/>
                <w:szCs w:val="28"/>
              </w:rPr>
            </w:pPr>
            <w:r>
              <w:rPr>
                <w:rFonts w:hint="eastAsia" w:hAnsi="宋体" w:cs="宋体"/>
                <w:sz w:val="28"/>
                <w:szCs w:val="28"/>
              </w:rPr>
              <w:t xml:space="preserve">    根据《长沙市岳麓区人民政府办公室关于实施2018年财政支出绩效评价工作的通知》（岳政办函【2017】7号）文件精神，我局从项目立项、绩效目标、资金管理、财务信息质量以及项目经济社会效益等方面进行了绩效评价。按照工作内容、工作措施、工作时限和要达到的预期效果，进一步分解细化工作任务，使绩效评价指标与各部门工作任务紧合起来，推动各项工作落实。</w:t>
            </w:r>
          </w:p>
          <w:p>
            <w:pPr>
              <w:pStyle w:val="4"/>
              <w:ind w:firstLine="550" w:firstLineChars="200"/>
              <w:rPr>
                <w:rFonts w:hAnsi="宋体" w:cs="宋体"/>
                <w:sz w:val="28"/>
                <w:szCs w:val="28"/>
              </w:rPr>
            </w:pPr>
            <w:r>
              <w:rPr>
                <w:rFonts w:hint="eastAsia" w:hAnsi="宋体" w:cs="宋体"/>
                <w:sz w:val="28"/>
                <w:szCs w:val="28"/>
              </w:rPr>
              <w:t>四、部门（单位）整体支出绩效情况</w:t>
            </w:r>
          </w:p>
          <w:p>
            <w:pPr>
              <w:pStyle w:val="4"/>
              <w:ind w:firstLine="550" w:firstLineChars="200"/>
              <w:rPr>
                <w:rFonts w:hAnsi="宋体" w:cs="宋体"/>
                <w:sz w:val="28"/>
                <w:szCs w:val="28"/>
              </w:rPr>
            </w:pPr>
            <w:r>
              <w:rPr>
                <w:rFonts w:hint="eastAsia" w:hAnsi="宋体" w:cs="宋体"/>
                <w:sz w:val="28"/>
                <w:szCs w:val="28"/>
              </w:rPr>
              <w:t>1.深化预算执行审计，提高财政资金绩效。2.强化经济责任审计，规范领导权力运行。3.严控政府投资审计，服务重点工程项目建设。4.推进民生专项资金审计，促进社会和谐稳定。5.配合各级开展各项审计，积极发挥监督促进职能。</w:t>
            </w:r>
          </w:p>
          <w:p>
            <w:pPr>
              <w:pStyle w:val="4"/>
              <w:ind w:firstLine="550" w:firstLineChars="200"/>
              <w:rPr>
                <w:rFonts w:hAnsi="宋体" w:cs="宋体"/>
                <w:sz w:val="28"/>
                <w:szCs w:val="28"/>
              </w:rPr>
            </w:pPr>
            <w:r>
              <w:rPr>
                <w:rFonts w:hint="eastAsia" w:hAnsi="宋体" w:cs="宋体"/>
                <w:sz w:val="28"/>
                <w:szCs w:val="28"/>
              </w:rPr>
              <w:t>五、存在的主要问题：无</w:t>
            </w:r>
          </w:p>
          <w:p>
            <w:pPr>
              <w:pStyle w:val="4"/>
              <w:ind w:firstLine="550" w:firstLineChars="200"/>
              <w:rPr>
                <w:rFonts w:hAnsi="宋体" w:cs="宋体"/>
                <w:sz w:val="28"/>
                <w:szCs w:val="28"/>
              </w:rPr>
            </w:pPr>
            <w:r>
              <w:rPr>
                <w:rFonts w:hint="eastAsia" w:hAnsi="宋体" w:cs="宋体"/>
                <w:sz w:val="28"/>
                <w:szCs w:val="28"/>
              </w:rPr>
              <w:t>六、改进措施和有关建议：无</w:t>
            </w:r>
          </w:p>
          <w:p>
            <w:pPr>
              <w:pStyle w:val="4"/>
              <w:rPr>
                <w:rFonts w:hAnsi="宋体" w:cs="宋体"/>
                <w:sz w:val="28"/>
                <w:szCs w:val="28"/>
              </w:rPr>
            </w:pPr>
          </w:p>
        </w:tc>
      </w:tr>
    </w:tbl>
    <w:p>
      <w:pPr>
        <w:rPr>
          <w:rFonts w:eastAsia="仿宋_GB2312"/>
          <w:bCs/>
          <w:sz w:val="32"/>
          <w:szCs w:val="32"/>
        </w:rPr>
      </w:pPr>
    </w:p>
    <w:sectPr>
      <w:footerReference r:id="rId3" w:type="default"/>
      <w:pgSz w:w="11906" w:h="16838"/>
      <w:pgMar w:top="1587" w:right="850" w:bottom="1587" w:left="850" w:header="851" w:footer="850"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3"/>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iZGI2Nzc1Y2Y4NjA0NGQ1MDEyZGM3OWIyZGE1ODEifQ=="/>
  </w:docVars>
  <w:rsids>
    <w:rsidRoot w:val="00172A27"/>
    <w:rsid w:val="000905FD"/>
    <w:rsid w:val="000F2B2A"/>
    <w:rsid w:val="001038CF"/>
    <w:rsid w:val="001063F8"/>
    <w:rsid w:val="00154613"/>
    <w:rsid w:val="00172A27"/>
    <w:rsid w:val="0018424A"/>
    <w:rsid w:val="002847B6"/>
    <w:rsid w:val="00295D54"/>
    <w:rsid w:val="002968B2"/>
    <w:rsid w:val="002D3218"/>
    <w:rsid w:val="003002CB"/>
    <w:rsid w:val="00300E50"/>
    <w:rsid w:val="00306170"/>
    <w:rsid w:val="0031180A"/>
    <w:rsid w:val="003717ED"/>
    <w:rsid w:val="003F5D75"/>
    <w:rsid w:val="00411951"/>
    <w:rsid w:val="0045698C"/>
    <w:rsid w:val="00503EB1"/>
    <w:rsid w:val="00511F0D"/>
    <w:rsid w:val="0051274B"/>
    <w:rsid w:val="005278BD"/>
    <w:rsid w:val="005B0F4B"/>
    <w:rsid w:val="005C5AB8"/>
    <w:rsid w:val="005C7E5A"/>
    <w:rsid w:val="005F4272"/>
    <w:rsid w:val="006D68AE"/>
    <w:rsid w:val="006E7838"/>
    <w:rsid w:val="00721627"/>
    <w:rsid w:val="0079325A"/>
    <w:rsid w:val="00796135"/>
    <w:rsid w:val="007B348D"/>
    <w:rsid w:val="0081437F"/>
    <w:rsid w:val="00826DCF"/>
    <w:rsid w:val="008305FD"/>
    <w:rsid w:val="008B7CE9"/>
    <w:rsid w:val="008C156B"/>
    <w:rsid w:val="009D4EB4"/>
    <w:rsid w:val="009F61B9"/>
    <w:rsid w:val="00A02844"/>
    <w:rsid w:val="00A16816"/>
    <w:rsid w:val="00AA40B8"/>
    <w:rsid w:val="00AC0617"/>
    <w:rsid w:val="00AC2E7A"/>
    <w:rsid w:val="00B3523F"/>
    <w:rsid w:val="00BF4211"/>
    <w:rsid w:val="00C17088"/>
    <w:rsid w:val="00CB7F06"/>
    <w:rsid w:val="00D03051"/>
    <w:rsid w:val="00D0498A"/>
    <w:rsid w:val="00D20342"/>
    <w:rsid w:val="00D50500"/>
    <w:rsid w:val="00D73600"/>
    <w:rsid w:val="00D94DD3"/>
    <w:rsid w:val="00DB033C"/>
    <w:rsid w:val="00DD1723"/>
    <w:rsid w:val="00DF02A4"/>
    <w:rsid w:val="00DF29CD"/>
    <w:rsid w:val="00E03C9C"/>
    <w:rsid w:val="00EA54F8"/>
    <w:rsid w:val="00EA69E1"/>
    <w:rsid w:val="00F22676"/>
    <w:rsid w:val="00F41989"/>
    <w:rsid w:val="00FC74EA"/>
    <w:rsid w:val="17C93012"/>
    <w:rsid w:val="207958A3"/>
    <w:rsid w:val="32B07523"/>
    <w:rsid w:val="37F07B57"/>
    <w:rsid w:val="395625B1"/>
    <w:rsid w:val="45B914F0"/>
    <w:rsid w:val="5D4067CC"/>
    <w:rsid w:val="67D049DE"/>
    <w:rsid w:val="69E75352"/>
    <w:rsid w:val="71725BB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360" w:lineRule="auto"/>
      <w:ind w:firstLine="720" w:firstLineChars="200"/>
      <w:outlineLvl w:val="1"/>
    </w:pPr>
    <w:rPr>
      <w:rFonts w:ascii="Arial" w:hAnsi="Arial" w:eastAsia="黑体"/>
      <w:b/>
      <w:sz w:val="32"/>
    </w:rPr>
  </w:style>
  <w:style w:type="paragraph" w:styleId="3">
    <w:name w:val="heading 3"/>
    <w:basedOn w:val="1"/>
    <w:next w:val="1"/>
    <w:link w:val="12"/>
    <w:qFormat/>
    <w:uiPriority w:val="0"/>
    <w:pPr>
      <w:keepNext/>
      <w:keepLines/>
      <w:spacing w:line="360" w:lineRule="auto"/>
      <w:outlineLvl w:val="2"/>
    </w:pPr>
    <w:rPr>
      <w:rFonts w:eastAsia="楷体_GB2312"/>
      <w:b/>
      <w:kern w:val="0"/>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Body Text Indent 2"/>
    <w:basedOn w:val="1"/>
    <w:uiPriority w:val="0"/>
    <w:pPr>
      <w:ind w:firstLine="588" w:firstLineChars="200"/>
    </w:pPr>
    <w:rPr>
      <w:rFonts w:ascii="仿宋_GB2312" w:eastAsia="仿宋_GB2312"/>
      <w:sz w:val="32"/>
    </w:rPr>
  </w:style>
  <w:style w:type="paragraph" w:styleId="6">
    <w:name w:val="Balloon Text"/>
    <w:basedOn w:val="1"/>
    <w:uiPriority w:val="0"/>
    <w:rPr>
      <w:sz w:val="18"/>
      <w:szCs w:val="18"/>
    </w:rPr>
  </w:style>
  <w:style w:type="paragraph" w:styleId="7">
    <w:name w:val="footer"/>
    <w:basedOn w:val="1"/>
    <w:uiPriority w:val="0"/>
    <w:pPr>
      <w:tabs>
        <w:tab w:val="center" w:pos="4153"/>
        <w:tab w:val="right" w:pos="8306"/>
      </w:tabs>
      <w:snapToGrid w:val="0"/>
      <w:jc w:val="left"/>
    </w:pPr>
    <w:rPr>
      <w:rFonts w:eastAsia="黑体"/>
      <w:snapToGrid w:val="0"/>
      <w:kern w:val="0"/>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uiPriority w:val="0"/>
  </w:style>
  <w:style w:type="character" w:customStyle="1" w:styleId="12">
    <w:name w:val="标题 3 Char"/>
    <w:link w:val="3"/>
    <w:uiPriority w:val="0"/>
    <w:rPr>
      <w:rFonts w:ascii="Times New Roman" w:hAnsi="Times New Roman" w:eastAsia="楷体_GB2312"/>
      <w:b/>
      <w:sz w:val="32"/>
      <w:szCs w:val="24"/>
      <w:lang w:bidi="ar-SA"/>
    </w:rPr>
  </w:style>
  <w:style w:type="character" w:customStyle="1" w:styleId="13">
    <w:name w:val="apple-converted-space"/>
    <w:basedOn w:val="10"/>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7</Pages>
  <Words>3384</Words>
  <Characters>3713</Characters>
  <Lines>31</Lines>
  <Paragraphs>8</Paragraphs>
  <TotalTime>14</TotalTime>
  <ScaleCrop>false</ScaleCrop>
  <LinksUpToDate>false</LinksUpToDate>
  <CharactersWithSpaces>4087</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2019-03-19T10:26:00Z</dcterms:created>
  <dc:creator>史莉君  </dc:creator>
  <cp:lastModifiedBy>陈新喆</cp:lastModifiedBy>
  <cp:lastPrinted>2019-03-19T10:23:00Z</cp:lastPrinted>
  <dcterms:modified xsi:type="dcterms:W3CDTF">2023-10-30T02:10:47Z</dcterms:modified>
  <dc:title>浙江省财政支出项目绩效评价报告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172A8674C91C43EEB1B9B7536608982C</vt:lpwstr>
  </property>
</Properties>
</file>