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20" w:firstLineChars="200"/>
        <w:jc w:val="center"/>
        <w:textAlignment w:val="auto"/>
        <w:rPr>
          <w:rFonts w:hint="eastAsia" w:ascii="微软雅黑" w:hAnsi="微软雅黑" w:eastAsia="微软雅黑" w:cs="微软雅黑"/>
          <w:i w:val="0"/>
          <w:iCs w:val="0"/>
          <w:caps w:val="0"/>
          <w:color w:val="333333"/>
          <w:spacing w:val="0"/>
          <w:sz w:val="22"/>
          <w:szCs w:val="22"/>
        </w:rPr>
      </w:pPr>
      <w:r>
        <w:rPr>
          <w:rStyle w:val="5"/>
          <w:rFonts w:hint="eastAsia" w:ascii="黑体" w:hAnsi="黑体" w:eastAsia="黑体" w:cs="黑体"/>
          <w:b w:val="0"/>
          <w:bCs/>
          <w:i w:val="0"/>
          <w:iCs w:val="0"/>
          <w:caps w:val="0"/>
          <w:color w:val="333333"/>
          <w:spacing w:val="0"/>
          <w:sz w:val="36"/>
          <w:szCs w:val="36"/>
          <w:shd w:val="clear" w:fill="FFFFFF"/>
        </w:rPr>
        <w:t>第二部分 2021年度部门决算表</w:t>
      </w: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958"/>
        <w:gridCol w:w="716"/>
        <w:gridCol w:w="2307"/>
        <w:gridCol w:w="3970"/>
        <w:gridCol w:w="716"/>
        <w:gridCol w:w="230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收入支出决算总表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21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公开01表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825"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3210"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010"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收入</w:t>
            </w:r>
          </w:p>
        </w:tc>
        <w:tc>
          <w:tcPr>
            <w:tcW w:w="8010"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行次</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金额</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行次</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金额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64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64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一、一般公共预算财政拨款收入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5,976.33</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一、一般公共服务支出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二、政府性基金预算财政拨款收入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二、外交支出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三、国有资本经营预算财政拨款收入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三、国防支出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四、上级补助收入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四、公共安全支出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五、事业收入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五、教育支出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六、经营收入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六、科学技术支出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37</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7,789.10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七、附属单位上缴收入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7</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七、文化旅游体育与传媒支出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38</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八、其他收入</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8</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八、社会保障和就业支出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39</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9</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九、卫生健康支出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40</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10</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十、节能环保支出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41</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11</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十一、城乡社区支出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十二、农林水支出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十三、交通运输支出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十四、资源勘探工业信息等支出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十五、商业服务业等支出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十六、金融支出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47</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17</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十七、援助其他地区支出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48</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18</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十八、自然资源海洋气象等支出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49</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19</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十九、住房保障支出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50</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20</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二十、粮油物资储备支出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51</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21</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二十一、国有资本经营预算支出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22</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二十二、灾害防治及应急管理支出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23</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二十三、其他支出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center"/>
              <w:textAlignment w:val="auto"/>
            </w:pPr>
            <w:r>
              <w:rPr>
                <w:rFonts w:hint="eastAsia" w:ascii="宋体" w:hAnsi="宋体" w:eastAsia="宋体" w:cs="宋体"/>
                <w:i w:val="0"/>
                <w:iCs w:val="0"/>
                <w:caps w:val="0"/>
                <w:color w:val="333333"/>
                <w:spacing w:val="0"/>
                <w:sz w:val="19"/>
                <w:szCs w:val="19"/>
              </w:rPr>
              <w:t>24</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二十四、债务还本支出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center"/>
              <w:textAlignment w:val="auto"/>
            </w:pPr>
            <w:r>
              <w:rPr>
                <w:rFonts w:hint="eastAsia" w:ascii="宋体" w:hAnsi="宋体" w:eastAsia="宋体" w:cs="宋体"/>
                <w:i w:val="0"/>
                <w:iCs w:val="0"/>
                <w:caps w:val="0"/>
                <w:color w:val="333333"/>
                <w:spacing w:val="0"/>
                <w:sz w:val="19"/>
                <w:szCs w:val="19"/>
              </w:rPr>
              <w:t>25</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二十五、债务付息支出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center"/>
              <w:textAlignment w:val="auto"/>
            </w:pPr>
            <w:r>
              <w:rPr>
                <w:rFonts w:hint="eastAsia" w:ascii="宋体" w:hAnsi="宋体" w:eastAsia="宋体" w:cs="宋体"/>
                <w:i w:val="0"/>
                <w:iCs w:val="0"/>
                <w:caps w:val="0"/>
                <w:color w:val="333333"/>
                <w:spacing w:val="0"/>
                <w:sz w:val="19"/>
                <w:szCs w:val="19"/>
              </w:rPr>
              <w:t>26</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二十六、抗疫特别国债安排的支出</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57</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本年收入合计</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27</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5,976.33</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本年支出合计</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58</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使用非财政拨款结余</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28</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结余分配</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59</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年初结转和结余</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29</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1,897.95</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年末结转和结余</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60</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30</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80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61</w:t>
            </w:r>
          </w:p>
        </w:tc>
        <w:tc>
          <w:tcPr>
            <w:tcW w:w="256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80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总计</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31</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48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总计</w:t>
            </w:r>
          </w:p>
        </w:tc>
        <w:tc>
          <w:tcPr>
            <w:tcW w:w="64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62</w:t>
            </w:r>
          </w:p>
        </w:tc>
        <w:tc>
          <w:tcPr>
            <w:tcW w:w="256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注：本表反映部门本年度的总收支和年末结转结余情况。本表金额转换为万元时，因四舍五入可能存在尾数误差。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right="0"/>
        <w:textAlignment w:val="auto"/>
        <w:rPr>
          <w:rFonts w:hint="eastAsia" w:ascii="微软雅黑" w:hAnsi="微软雅黑" w:eastAsia="微软雅黑" w:cs="微软雅黑"/>
          <w:i w:val="0"/>
          <w:iCs w:val="0"/>
          <w:caps w:val="0"/>
          <w:color w:val="333333"/>
          <w:spacing w:val="0"/>
          <w:sz w:val="22"/>
          <w:szCs w:val="2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2"/>
        <w:gridCol w:w="422"/>
        <w:gridCol w:w="422"/>
        <w:gridCol w:w="2489"/>
        <w:gridCol w:w="1950"/>
        <w:gridCol w:w="1531"/>
        <w:gridCol w:w="1341"/>
        <w:gridCol w:w="1341"/>
        <w:gridCol w:w="1363"/>
        <w:gridCol w:w="1341"/>
        <w:gridCol w:w="135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收入决算表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1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1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1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公开02表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840"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319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275"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217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本年收入合计</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财政拨款收入</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上级补助收入</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事业收入</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经营收入</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附属单位上缴收入</w:t>
            </w:r>
          </w:p>
        </w:tc>
        <w:tc>
          <w:tcPr>
            <w:tcW w:w="15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其他收入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功能分类科目编码</w:t>
            </w:r>
          </w:p>
        </w:tc>
        <w:tc>
          <w:tcPr>
            <w:tcW w:w="319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217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19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17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19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17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27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27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5,976.33</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5,976.33</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5,891.15</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5,891.15</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科学技术管理事务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428.52</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428.52</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行政运行</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2060102</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一般行政管理事务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18.35</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18.35</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其他科学技术管理事务支出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基础研究</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2060203</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自然科学基金</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技术研究与开发</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627.10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627.10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2060404</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科技成果转化与扩散</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427.10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427.10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其他技术研究与开发支出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科技条件与服务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562.06</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562.06</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2060503</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科技条件专项</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其他科技条件与服务支出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460.00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460.00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科学技术普及</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55.00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55.00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2060702</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科普活动</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2060705</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科技馆站</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其他科学技术普及支出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科技重大项目</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2060902</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重点研发计划</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772.00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3,436.47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3,436.47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科技奖励</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3,416.47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3,416.47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社会保障和就业支出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行政事业单位养老支出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行政单位离退休</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2080505</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机关事业单位基本养老保险缴费支出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2080506</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机关事业单位职业年金缴费支出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卫生健康支出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计划生育事务</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2100799</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其他计划生育事务支出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行政事业单位医疗</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行政单位医疗</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2101103</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公务员医疗补助</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住房保障支出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住房改革支出</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08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2210201</w:t>
            </w:r>
          </w:p>
        </w:tc>
        <w:tc>
          <w:tcPr>
            <w:tcW w:w="319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住房公积金</w:t>
            </w:r>
          </w:p>
        </w:tc>
        <w:tc>
          <w:tcPr>
            <w:tcW w:w="21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注：本表反映部门本年度取得的各项收入情况。本表金额转换为万元时，因四舍五入可能存在尾数误差。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rPr>
          <w:rFonts w:hint="eastAsia" w:ascii="微软雅黑" w:hAnsi="微软雅黑" w:eastAsia="微软雅黑" w:cs="微软雅黑"/>
          <w:i w:val="0"/>
          <w:iCs w:val="0"/>
          <w:caps w:val="0"/>
          <w:color w:val="333333"/>
          <w:spacing w:val="0"/>
          <w:sz w:val="22"/>
          <w:szCs w:val="22"/>
          <w:shd w:val="clear" w:fill="FFFFFF"/>
        </w:rPr>
      </w:pPr>
      <w:r>
        <w:rPr>
          <w:rFonts w:hint="eastAsia" w:ascii="微软雅黑" w:hAnsi="微软雅黑" w:eastAsia="微软雅黑" w:cs="微软雅黑"/>
          <w:i w:val="0"/>
          <w:iCs w:val="0"/>
          <w:caps w:val="0"/>
          <w:color w:val="333333"/>
          <w:spacing w:val="0"/>
          <w:sz w:val="22"/>
          <w:szCs w:val="22"/>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2"/>
        <w:gridCol w:w="422"/>
        <w:gridCol w:w="422"/>
        <w:gridCol w:w="2796"/>
        <w:gridCol w:w="2144"/>
        <w:gridCol w:w="1610"/>
        <w:gridCol w:w="1668"/>
        <w:gridCol w:w="1504"/>
        <w:gridCol w:w="1493"/>
        <w:gridCol w:w="149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支出决算表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公开03表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95"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35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755"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241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本年支出合计</w:t>
            </w:r>
          </w:p>
        </w:tc>
        <w:tc>
          <w:tcPr>
            <w:tcW w:w="17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基本支出</w:t>
            </w:r>
          </w:p>
        </w:tc>
        <w:tc>
          <w:tcPr>
            <w:tcW w:w="17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项目支出</w:t>
            </w:r>
          </w:p>
        </w:tc>
        <w:tc>
          <w:tcPr>
            <w:tcW w:w="17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上缴上级支出</w:t>
            </w:r>
          </w:p>
        </w:tc>
        <w:tc>
          <w:tcPr>
            <w:tcW w:w="17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经营支出</w:t>
            </w:r>
          </w:p>
        </w:tc>
        <w:tc>
          <w:tcPr>
            <w:tcW w:w="17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对附属单位补助支出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功能分类科目编码</w:t>
            </w:r>
          </w:p>
        </w:tc>
        <w:tc>
          <w:tcPr>
            <w:tcW w:w="354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24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54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4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54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4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75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75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480.88</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7,393.40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7,789.10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7,393.40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科学技术管理事务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523.87</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128.17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行政运行</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2060102</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一般行政管理事务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113.70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113.70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其他科学技术管理事务支出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基础研究</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2060203</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自然科学基金</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20603</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应用研究</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2060303</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高技术研究</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技术研究与开发</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907.10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907.10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2060404</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科技成果转化与扩散</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707.10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707.10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其他技术研究与开发支出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科技条件与服务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732.06</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732.06</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2060503</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科技条件专项</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其他科技条件与服务支出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630.00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630.00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科学技术普及</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2060702</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科普活动</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2060705</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科技馆站</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其他科学技术普及支出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科技重大项目</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1,763.50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1,763.50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科技重大专项</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941.50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941.50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2060902</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重点研发计划</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822.00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822.00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3,642.57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3,642.57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科技奖励</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3,622.57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3,622.57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社会保障和就业支出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行政事业单位养老支出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行政单位离退休</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2080505</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机关事业单位基本养老保险缴费支出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2080506</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机关事业单位职业年金缴费支出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卫生健康支出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计划生育事务</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2100799</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其他计划生育事务支出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行政事业单位医疗</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行政单位医疗</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2101103</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公务员医疗补助</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住房保障支出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住房改革支出</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00"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2210201</w:t>
            </w:r>
          </w:p>
        </w:tc>
        <w:tc>
          <w:tcPr>
            <w:tcW w:w="354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住房公积金</w:t>
            </w:r>
          </w:p>
        </w:tc>
        <w:tc>
          <w:tcPr>
            <w:tcW w:w="24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注：本表反映部门本年度各项支出情况。本表金额转换为万元时，因四舍五入可能存在尾数误差。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69"/>
        <w:gridCol w:w="716"/>
        <w:gridCol w:w="1502"/>
        <w:gridCol w:w="2793"/>
        <w:gridCol w:w="716"/>
        <w:gridCol w:w="1887"/>
        <w:gridCol w:w="1442"/>
        <w:gridCol w:w="1224"/>
        <w:gridCol w:w="122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PrEx>
        <w:trPr>
          <w:jc w:val="center"/>
        </w:trPr>
        <w:tc>
          <w:tcPr>
            <w:tcW w:w="16035"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财政拨款收入支出决算总表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6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2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公开04表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11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2925"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295"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收 入</w:t>
            </w:r>
          </w:p>
        </w:tc>
        <w:tc>
          <w:tcPr>
            <w:tcW w:w="10740" w:type="dxa"/>
            <w:gridSpan w:val="6"/>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支 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52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行次</w:t>
            </w:r>
          </w:p>
        </w:tc>
        <w:tc>
          <w:tcPr>
            <w:tcW w:w="156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金额</w:t>
            </w:r>
          </w:p>
        </w:tc>
        <w:tc>
          <w:tcPr>
            <w:tcW w:w="36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52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行次</w:t>
            </w:r>
          </w:p>
        </w:tc>
        <w:tc>
          <w:tcPr>
            <w:tcW w:w="213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14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一般公共预算财政拨款</w:t>
            </w:r>
          </w:p>
        </w:tc>
        <w:tc>
          <w:tcPr>
            <w:tcW w:w="14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政府性基金预算财政拨款</w:t>
            </w:r>
          </w:p>
        </w:tc>
        <w:tc>
          <w:tcPr>
            <w:tcW w:w="147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国有资本经营预算财政拨款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2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56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6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2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13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4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4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47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5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5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一、一般公共预算财政拨款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5,976.33</w:t>
            </w: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一、一般公共服务支出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33</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二、政府性基金预算财政拨款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二、外交支出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34</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三、国有资本经营财政拨款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三、国防支出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35</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四、公共安全支出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36</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五、教育支出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37</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六、科学技术支出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38</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7,789.10</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7,789.10</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7</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七、文化旅游体育与传媒支出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39</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8</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八、社会保障和就业支出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40</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9</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九、卫生健康支出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41</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10</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十、节能环保支出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42</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11</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十一、城乡社区支出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43</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12</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十二、农林水支出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44</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13</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十三、交通运输支出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45</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14</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十四、资源勘探工业信息等支出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46</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15</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十五、商业服务业等支出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47</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16</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十六、金融支出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48</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17</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十七、援助其他地区支出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49</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18</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十八、自然资源海洋气象等支出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50</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19</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十九、住房保障支出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51</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20</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二十、粮油物资储备支出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52</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21</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二十一、国有资本经营预算支出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53</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22</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二十二、灾害防治及应急管理支出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54</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23</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二十三、其他支出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55</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24</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二十四、债务还本支出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56</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25</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二十五、债务付息支出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57</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26</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二十六、抗疫特别国债安排的支出</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58</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本年收入合计</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27</w:t>
            </w: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5,976.33</w:t>
            </w: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本年支出合计</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59</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年初财政拨款结转和结余</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28</w:t>
            </w: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1,897.95</w:t>
            </w: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年末财政拨款结转和结余</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60</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一般公共预算财政拨款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29</w:t>
            </w: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1,897.95</w:t>
            </w:r>
          </w:p>
        </w:tc>
        <w:tc>
          <w:tcPr>
            <w:tcW w:w="36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61</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政府性基金预算财政拨款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30</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62</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国有资本经营预算财政拨款</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31</w:t>
            </w:r>
          </w:p>
        </w:tc>
        <w:tc>
          <w:tcPr>
            <w:tcW w:w="156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6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63</w:t>
            </w:r>
          </w:p>
        </w:tc>
        <w:tc>
          <w:tcPr>
            <w:tcW w:w="213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1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总计</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32</w:t>
            </w:r>
          </w:p>
        </w:tc>
        <w:tc>
          <w:tcPr>
            <w:tcW w:w="156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36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总计</w:t>
            </w:r>
          </w:p>
        </w:tc>
        <w:tc>
          <w:tcPr>
            <w:tcW w:w="5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64</w:t>
            </w:r>
          </w:p>
        </w:tc>
        <w:tc>
          <w:tcPr>
            <w:tcW w:w="213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147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47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42"/>
        <w:gridCol w:w="443"/>
        <w:gridCol w:w="458"/>
        <w:gridCol w:w="4447"/>
        <w:gridCol w:w="2743"/>
        <w:gridCol w:w="2698"/>
        <w:gridCol w:w="27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一般公共预算财政拨款支出决算表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61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公开05表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985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6180"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765"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9270"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功能分类科目编码</w:t>
            </w:r>
          </w:p>
        </w:tc>
        <w:tc>
          <w:tcPr>
            <w:tcW w:w="540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30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小计</w:t>
            </w:r>
          </w:p>
        </w:tc>
        <w:tc>
          <w:tcPr>
            <w:tcW w:w="30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基本支出</w:t>
            </w:r>
          </w:p>
        </w:tc>
        <w:tc>
          <w:tcPr>
            <w:tcW w:w="309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40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40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09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76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765"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7,874.28</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480.88</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7,393.40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7,789.10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7,393.40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科学技术管理事务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523.87</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128.17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行政运行</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395.70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2060102</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一般行政管理事务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113.70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113.70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2060199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其他科学技术管理事务支出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14.47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基础研究</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2060203</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自然科学基金</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20603</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应用研究</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2060303</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高技术研究</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150.00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技术研究与开发</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907.10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907.10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2060404</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科技成果转化与扩散</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707.10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707.10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2060499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其他技术研究与开发支出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科技条件与服务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732.06</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732.06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2060503</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科技条件专项</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102.06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2060599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其他科技条件与服务支出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630.00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630.00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科学技术普及</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2060702</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科普活动</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22.00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2060705</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科技馆站</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2060799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其他科学技术普及支出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科技重大项目</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1,763.50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1,763.50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科技重大专项</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941.50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941.50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2060902</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重点研发计划</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822.00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822.00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3,642.57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3,642.57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科技奖励</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2069999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其他科学技术支出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3,622.57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3,622.57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社会保障和就业支出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36.17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行政事业单位养老支出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35.87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行政单位离退休</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2080505</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机关事业单位基本养老保险缴费支出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2080506</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机关事业单位职业年金缴费支出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2089999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其他社会保障和就业支出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卫生健康支出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19.00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计划生育事务</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2100799</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其他计划生育事务支出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行政事业单位医疗</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18.90</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行政单位医疗</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2101103</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公务员医疗补助</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住房保障支出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住房改革支出</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65" w:type="dxa"/>
            <w:gridSpan w:val="3"/>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2210201</w:t>
            </w:r>
          </w:p>
        </w:tc>
        <w:tc>
          <w:tcPr>
            <w:tcW w:w="540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住房公积金</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309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03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注：本表反映部门本年度一般公共预算财政拨款支出情况。本表金额转换为万元时，因四舍五入可能存在尾数误差。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46"/>
        <w:gridCol w:w="2423"/>
        <w:gridCol w:w="1523"/>
        <w:gridCol w:w="1046"/>
        <w:gridCol w:w="1961"/>
        <w:gridCol w:w="1484"/>
        <w:gridCol w:w="1046"/>
        <w:gridCol w:w="1961"/>
        <w:gridCol w:w="14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一般公共预算财政拨款基本支出决算明细表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6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38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right"/>
              <w:textAlignment w:val="auto"/>
            </w:pPr>
            <w:r>
              <w:rPr>
                <w:rFonts w:hint="eastAsia" w:ascii="宋体" w:hAnsi="宋体" w:eastAsia="宋体" w:cs="宋体"/>
                <w:i w:val="0"/>
                <w:iCs w:val="0"/>
                <w:caps w:val="0"/>
                <w:color w:val="333333"/>
                <w:spacing w:val="0"/>
                <w:sz w:val="18"/>
                <w:szCs w:val="18"/>
              </w:rPr>
              <w:t>公开06表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1655"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4380"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right"/>
              <w:textAlignment w:val="auto"/>
            </w:pPr>
            <w:r>
              <w:rPr>
                <w:rFonts w:hint="eastAsia" w:ascii="宋体" w:hAnsi="宋体" w:eastAsia="宋体" w:cs="宋体"/>
                <w:i w:val="0"/>
                <w:iCs w:val="0"/>
                <w:caps w:val="0"/>
                <w:color w:val="333333"/>
                <w:spacing w:val="0"/>
                <w:sz w:val="18"/>
                <w:szCs w:val="18"/>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820" w:type="dxa"/>
            <w:gridSpan w:val="3"/>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人员经费</w:t>
            </w:r>
          </w:p>
        </w:tc>
        <w:tc>
          <w:tcPr>
            <w:tcW w:w="10215" w:type="dxa"/>
            <w:gridSpan w:val="6"/>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公用经费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科目编码</w:t>
            </w:r>
          </w:p>
        </w:tc>
        <w:tc>
          <w:tcPr>
            <w:tcW w:w="337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172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决算数</w:t>
            </w:r>
          </w:p>
        </w:tc>
        <w:tc>
          <w:tcPr>
            <w:tcW w:w="72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科目编码</w:t>
            </w:r>
          </w:p>
        </w:tc>
        <w:tc>
          <w:tcPr>
            <w:tcW w:w="265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172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决算数</w:t>
            </w:r>
          </w:p>
        </w:tc>
        <w:tc>
          <w:tcPr>
            <w:tcW w:w="720"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科目编码</w:t>
            </w:r>
          </w:p>
        </w:tc>
        <w:tc>
          <w:tcPr>
            <w:tcW w:w="265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172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决算数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37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2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72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65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2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720"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65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2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301</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工资福利支出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431.75</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302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商品和服务支出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48.76</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307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债务利息及费用支出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30101</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基本工资</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62.14</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办公费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8.26</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30701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国内债务付息</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30102</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津贴补贴</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52.74</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印刷费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30702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国外债务付息</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30103</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奖金</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220.57</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30203</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咨询费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310</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资本性支出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30106</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伙食补助费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30204</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手续费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房屋建筑物购建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30107</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绩效工资</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30205</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办公设备购置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30108</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机关事业单位基本养老保险缴费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19.26</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30206</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电费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31003</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专用设备购置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30109</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职业年金缴费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16.34</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邮电费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0.60</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31005</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基础设施建设</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30110</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职工基本医疗保险缴费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10.47</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30208</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取暖费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31006</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大型修缮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30111</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公务员医疗补助缴费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8.43</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30209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物业管理费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信息网络及软件购置更新</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30112</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其他社会保障缴费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0.30</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差旅费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31008</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物资储备</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30113</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住房公积金</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30.01</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因公出国（境）费用</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31009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土地补偿</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30114</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医疗费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30213</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维修（护）费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31010</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安置补助</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30199</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其他工资福利支出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11.49</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30214</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租赁费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0.12</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31011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地上附着物和青苗补偿</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303</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对个人和家庭的补助</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0.37</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30215</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会议费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31012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拆迁补偿</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30301</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离休费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30216</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培训费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31013</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公务用车购置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30302</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退休费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0.27</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公务接待费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0.41</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31019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其他交通工具购置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30303</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退职（役）费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30218</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专用材料费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31021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文物和陈列品购置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30304</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抚恤金</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30224</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被装购置费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31022</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无形资产购置</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30305</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生活补助</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30225</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专用燃料费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31099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其他资本性支出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30306</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救济费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30226</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劳务费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3.31</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399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textAlignment w:val="auto"/>
            </w:pPr>
            <w:r>
              <w:rPr>
                <w:rStyle w:val="5"/>
                <w:rFonts w:hint="eastAsia" w:ascii="宋体" w:hAnsi="宋体" w:eastAsia="宋体" w:cs="宋体"/>
                <w:i w:val="0"/>
                <w:iCs w:val="0"/>
                <w:caps w:val="0"/>
                <w:color w:val="333333"/>
                <w:spacing w:val="0"/>
                <w:sz w:val="22"/>
                <w:szCs w:val="22"/>
              </w:rPr>
              <w:t>其他支出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30307</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医疗费补助</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委托业务费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11.41</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39906</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赠与</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30308</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助学金</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30228</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工会经费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6.43</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39907</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国家赔偿费用支出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30309</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奖励金</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0.10</w:t>
            </w: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30229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福利费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39908</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对民间非营利组织和群众性自治组织补贴</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30310</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个人农业生产补贴</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30231</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公务用车运行维护费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39999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30311</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代缴社会保险费</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30239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其他交通费用</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10.56</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6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30399</w:t>
            </w:r>
          </w:p>
        </w:tc>
        <w:tc>
          <w:tcPr>
            <w:tcW w:w="337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其他对个人和家庭的补助</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30240</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税金及附加费用</w:t>
            </w: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6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720" w:type="dxa"/>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37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720"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30299</w:t>
            </w:r>
          </w:p>
        </w:tc>
        <w:tc>
          <w:tcPr>
            <w:tcW w:w="26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其他商品和服务支出</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7.55</w:t>
            </w:r>
          </w:p>
        </w:tc>
        <w:tc>
          <w:tcPr>
            <w:tcW w:w="720"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6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2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4095" w:type="dxa"/>
            <w:gridSpan w:val="2"/>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人员经费合计</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432.12</w:t>
            </w:r>
          </w:p>
        </w:tc>
        <w:tc>
          <w:tcPr>
            <w:tcW w:w="8490" w:type="dxa"/>
            <w:gridSpan w:val="5"/>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center"/>
              <w:textAlignment w:val="auto"/>
            </w:pPr>
            <w:r>
              <w:rPr>
                <w:rStyle w:val="5"/>
                <w:rFonts w:hint="eastAsia" w:ascii="宋体" w:hAnsi="宋体" w:eastAsia="宋体" w:cs="宋体"/>
                <w:i w:val="0"/>
                <w:iCs w:val="0"/>
                <w:caps w:val="0"/>
                <w:color w:val="333333"/>
                <w:spacing w:val="0"/>
                <w:sz w:val="22"/>
                <w:szCs w:val="22"/>
              </w:rPr>
              <w:t>公用经费合计</w:t>
            </w:r>
          </w:p>
        </w:tc>
        <w:tc>
          <w:tcPr>
            <w:tcW w:w="172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2" w:firstLineChars="200"/>
              <w:jc w:val="right"/>
              <w:textAlignment w:val="auto"/>
            </w:pPr>
            <w:r>
              <w:rPr>
                <w:rStyle w:val="5"/>
                <w:rFonts w:hint="eastAsia" w:ascii="宋体" w:hAnsi="宋体" w:eastAsia="宋体" w:cs="宋体"/>
                <w:i w:val="0"/>
                <w:iCs w:val="0"/>
                <w:caps w:val="0"/>
                <w:color w:val="333333"/>
                <w:spacing w:val="0"/>
                <w:sz w:val="22"/>
                <w:szCs w:val="22"/>
              </w:rPr>
              <w:t>48.76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注：本表反映部门本年度一般公共预算财政拨款基本支出明细情况。本表金额转换为万元时，因四舍五入可能存在尾数误差。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9"/>
        <w:gridCol w:w="1140"/>
        <w:gridCol w:w="1140"/>
        <w:gridCol w:w="1140"/>
        <w:gridCol w:w="1141"/>
        <w:gridCol w:w="1210"/>
        <w:gridCol w:w="1210"/>
        <w:gridCol w:w="1141"/>
        <w:gridCol w:w="1141"/>
        <w:gridCol w:w="1151"/>
        <w:gridCol w:w="1141"/>
        <w:gridCol w:w="121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一般公共预算财政拨款“三公”经费支出决算表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6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公开07表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365"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2670"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010" w:type="dxa"/>
            <w:gridSpan w:val="6"/>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预算数</w:t>
            </w:r>
          </w:p>
        </w:tc>
        <w:tc>
          <w:tcPr>
            <w:tcW w:w="8010" w:type="dxa"/>
            <w:gridSpan w:val="6"/>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决算数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35" w:type="dxa"/>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133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因公出国（境）费</w:t>
            </w:r>
          </w:p>
        </w:tc>
        <w:tc>
          <w:tcPr>
            <w:tcW w:w="4005"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公务用车购置及运行费</w:t>
            </w:r>
          </w:p>
        </w:tc>
        <w:tc>
          <w:tcPr>
            <w:tcW w:w="133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公务接待费</w:t>
            </w:r>
          </w:p>
        </w:tc>
        <w:tc>
          <w:tcPr>
            <w:tcW w:w="133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133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因公出国（境）费</w:t>
            </w:r>
          </w:p>
        </w:tc>
        <w:tc>
          <w:tcPr>
            <w:tcW w:w="4005"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公务用车购置及运行费</w:t>
            </w:r>
          </w:p>
        </w:tc>
        <w:tc>
          <w:tcPr>
            <w:tcW w:w="133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公务接待费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35" w:type="dxa"/>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3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小计</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公务用车购置费</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公务用车运行费</w:t>
            </w:r>
          </w:p>
        </w:tc>
        <w:tc>
          <w:tcPr>
            <w:tcW w:w="133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3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3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小计</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公务用车购置费</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公务用车运行费</w:t>
            </w:r>
          </w:p>
        </w:tc>
        <w:tc>
          <w:tcPr>
            <w:tcW w:w="133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35"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7</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8</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9</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10</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11</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35" w:type="dxa"/>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3.33</w:t>
            </w: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3.33</w:t>
            </w: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0.41</w:t>
            </w: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3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right"/>
              <w:textAlignment w:val="auto"/>
            </w:pPr>
            <w:r>
              <w:rPr>
                <w:rFonts w:hint="eastAsia" w:ascii="宋体" w:hAnsi="宋体" w:eastAsia="宋体" w:cs="宋体"/>
                <w:i w:val="0"/>
                <w:iCs w:val="0"/>
                <w:caps w:val="0"/>
                <w:color w:val="333333"/>
                <w:spacing w:val="0"/>
                <w:sz w:val="22"/>
                <w:szCs w:val="22"/>
              </w:rPr>
              <w:t>0.41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035" w:type="dxa"/>
            <w:gridSpan w:val="1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13974"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11"/>
        <w:gridCol w:w="311"/>
        <w:gridCol w:w="325"/>
        <w:gridCol w:w="2915"/>
        <w:gridCol w:w="1091"/>
        <w:gridCol w:w="1715"/>
        <w:gridCol w:w="1007"/>
        <w:gridCol w:w="1355"/>
        <w:gridCol w:w="1356"/>
        <w:gridCol w:w="35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974"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政府性基金预算财政拨款收入支出决算表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94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公开08表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30"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494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62"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1091"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年初结转和结余</w:t>
            </w:r>
          </w:p>
        </w:tc>
        <w:tc>
          <w:tcPr>
            <w:tcW w:w="171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本年收入</w:t>
            </w:r>
          </w:p>
        </w:tc>
        <w:tc>
          <w:tcPr>
            <w:tcW w:w="3718"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本年支出</w:t>
            </w:r>
          </w:p>
        </w:tc>
        <w:tc>
          <w:tcPr>
            <w:tcW w:w="3588"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年末结转和结余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功能分类科目编码</w:t>
            </w:r>
          </w:p>
        </w:tc>
        <w:tc>
          <w:tcPr>
            <w:tcW w:w="291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1091"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007"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小计</w:t>
            </w:r>
          </w:p>
        </w:tc>
        <w:tc>
          <w:tcPr>
            <w:tcW w:w="1355"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基本支出</w:t>
            </w:r>
          </w:p>
        </w:tc>
        <w:tc>
          <w:tcPr>
            <w:tcW w:w="1356"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项目支出</w:t>
            </w:r>
          </w:p>
        </w:tc>
        <w:tc>
          <w:tcPr>
            <w:tcW w:w="3588"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9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091"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007"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5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56"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588"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9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091"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71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007"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55"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1356"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3588"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862"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1091"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171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1007"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c>
          <w:tcPr>
            <w:tcW w:w="1355"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4</w:t>
            </w:r>
          </w:p>
        </w:tc>
        <w:tc>
          <w:tcPr>
            <w:tcW w:w="1356"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5</w:t>
            </w:r>
          </w:p>
        </w:tc>
        <w:tc>
          <w:tcPr>
            <w:tcW w:w="3588"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862"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47"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947"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9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9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71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007"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5"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1356"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3588"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3974"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注：本表反映部门本年度政府性基金预算财政拨款收入、支出及结转和结余情况。本单位没有政府性基金收入，也没有使用政府性基金安排的支出，故本表无数据。</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225" w:afterAutospacing="0" w:line="240" w:lineRule="auto"/>
        <w:ind w:left="0" w:right="0" w:firstLine="440" w:firstLineChars="200"/>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p>
    <w:tbl>
      <w:tblPr>
        <w:tblStyle w:val="3"/>
        <w:tblW w:w="13974"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77"/>
        <w:gridCol w:w="477"/>
        <w:gridCol w:w="491"/>
        <w:gridCol w:w="5401"/>
        <w:gridCol w:w="2372"/>
        <w:gridCol w:w="2372"/>
        <w:gridCol w:w="23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974"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800" w:firstLineChars="200"/>
              <w:jc w:val="center"/>
              <w:textAlignment w:val="auto"/>
            </w:pPr>
            <w:r>
              <w:rPr>
                <w:rFonts w:hint="eastAsia" w:ascii="宋体" w:hAnsi="宋体" w:eastAsia="宋体" w:cs="宋体"/>
                <w:i w:val="0"/>
                <w:iCs w:val="0"/>
                <w:caps w:val="0"/>
                <w:color w:val="333333"/>
                <w:spacing w:val="0"/>
                <w:sz w:val="40"/>
                <w:szCs w:val="40"/>
              </w:rPr>
              <w:t>国有资本经营预算财政拨款支出决算表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475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公开09表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2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部门：长沙市岳麓区科技局</w:t>
            </w:r>
          </w:p>
        </w:tc>
        <w:tc>
          <w:tcPr>
            <w:tcW w:w="4756" w:type="dxa"/>
            <w:gridSpan w:val="2"/>
            <w:tcBorders>
              <w:top w:val="outset" w:color="auto" w:sz="6" w:space="0"/>
              <w:left w:val="outset" w:color="auto" w:sz="6" w:space="0"/>
              <w:bottom w:val="single" w:color="666666"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80" w:firstLineChars="200"/>
              <w:jc w:val="right"/>
              <w:textAlignment w:val="auto"/>
            </w:pPr>
            <w:r>
              <w:rPr>
                <w:rFonts w:hint="eastAsia" w:ascii="宋体" w:hAnsi="宋体" w:eastAsia="宋体" w:cs="宋体"/>
                <w:i w:val="0"/>
                <w:iCs w:val="0"/>
                <w:caps w:val="0"/>
                <w:color w:val="333333"/>
                <w:spacing w:val="0"/>
                <w:sz w:val="19"/>
                <w:szCs w:val="19"/>
              </w:rPr>
              <w:t>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846" w:type="dxa"/>
            <w:gridSpan w:val="4"/>
            <w:tcBorders>
              <w:top w:val="single" w:color="666666" w:sz="6" w:space="0"/>
              <w:left w:val="single" w:color="666666" w:sz="6" w:space="0"/>
              <w:bottom w:val="single" w:color="666666"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w:t>
            </w:r>
          </w:p>
        </w:tc>
        <w:tc>
          <w:tcPr>
            <w:tcW w:w="7128" w:type="dxa"/>
            <w:gridSpan w:val="3"/>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本年支出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445" w:type="dxa"/>
            <w:gridSpan w:val="3"/>
            <w:vMerge w:val="restart"/>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功能分类科目编码</w:t>
            </w:r>
          </w:p>
        </w:tc>
        <w:tc>
          <w:tcPr>
            <w:tcW w:w="5401"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科目名称</w:t>
            </w:r>
          </w:p>
        </w:tc>
        <w:tc>
          <w:tcPr>
            <w:tcW w:w="2372"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2372"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基本支出</w:t>
            </w:r>
          </w:p>
        </w:tc>
        <w:tc>
          <w:tcPr>
            <w:tcW w:w="2384" w:type="dxa"/>
            <w:vMerge w:val="restart"/>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项目支出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445"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401"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72"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72"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84"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445" w:type="dxa"/>
            <w:gridSpan w:val="3"/>
            <w:vMerge w:val="continue"/>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5401"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72"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72"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c>
          <w:tcPr>
            <w:tcW w:w="2384" w:type="dxa"/>
            <w:vMerge w:val="continue"/>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846"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栏次</w:t>
            </w:r>
          </w:p>
        </w:tc>
        <w:tc>
          <w:tcPr>
            <w:tcW w:w="2372"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1</w:t>
            </w:r>
          </w:p>
        </w:tc>
        <w:tc>
          <w:tcPr>
            <w:tcW w:w="2372"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2</w:t>
            </w:r>
          </w:p>
        </w:tc>
        <w:tc>
          <w:tcPr>
            <w:tcW w:w="2384" w:type="dxa"/>
            <w:tcBorders>
              <w:top w:val="outset" w:color="auto" w:sz="6" w:space="0"/>
              <w:left w:val="nil"/>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6846" w:type="dxa"/>
            <w:gridSpan w:val="4"/>
            <w:tcBorders>
              <w:top w:val="nil"/>
              <w:left w:val="single" w:color="666666" w:sz="6" w:space="0"/>
              <w:bottom w:val="outset" w:color="auto" w:sz="6" w:space="0"/>
              <w:right w:val="single" w:color="666666"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center"/>
              <w:textAlignment w:val="auto"/>
            </w:pPr>
            <w:r>
              <w:rPr>
                <w:rFonts w:hint="eastAsia" w:ascii="宋体" w:hAnsi="宋体" w:eastAsia="宋体" w:cs="宋体"/>
                <w:i w:val="0"/>
                <w:iCs w:val="0"/>
                <w:caps w:val="0"/>
                <w:color w:val="333333"/>
                <w:spacing w:val="0"/>
                <w:sz w:val="22"/>
                <w:szCs w:val="22"/>
              </w:rPr>
              <w:t>合计</w:t>
            </w: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445"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445"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445"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445"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445" w:type="dxa"/>
            <w:gridSpan w:val="3"/>
            <w:tcBorders>
              <w:top w:val="nil"/>
              <w:left w:val="single" w:color="666666" w:sz="6" w:space="0"/>
              <w:bottom w:val="outset" w:color="auto" w:sz="6" w:space="0"/>
              <w:right w:val="single" w:color="666666"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5401"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72"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c>
          <w:tcPr>
            <w:tcW w:w="2384" w:type="dxa"/>
            <w:tcBorders>
              <w:top w:val="outset" w:color="auto" w:sz="6" w:space="0"/>
              <w:left w:val="nil"/>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40" w:firstLineChars="200"/>
              <w:jc w:val="left"/>
              <w:textAlignment w:val="auto"/>
              <w:rPr>
                <w:rFonts w:hint="eastAsia" w:ascii="微软雅黑" w:hAnsi="微软雅黑" w:eastAsia="微软雅黑" w:cs="微软雅黑"/>
                <w:i w:val="0"/>
                <w:iCs w:val="0"/>
                <w:caps w:val="0"/>
                <w:color w:val="333333"/>
                <w:spacing w:val="0"/>
                <w:sz w:val="22"/>
                <w:szCs w:val="22"/>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3974"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pPr>
            <w:r>
              <w:rPr>
                <w:rFonts w:hint="eastAsia" w:ascii="宋体" w:hAnsi="宋体" w:eastAsia="宋体" w:cs="宋体"/>
                <w:i w:val="0"/>
                <w:iCs w:val="0"/>
                <w:caps w:val="0"/>
                <w:color w:val="333333"/>
                <w:spacing w:val="0"/>
                <w:sz w:val="22"/>
                <w:szCs w:val="22"/>
              </w:rPr>
              <w:t>注：本表反映部门本年度国有资本经营预算财政拨款支出情况。本单位没有国有资本经营预算财政拨款收入，也没有使用国有资本经营预算财政拨款安排的支出，故本表无数据。</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MTNmZGMyODI3MTE3NTY2ZmRlMDI0MmE0YWU0ZjQifQ=="/>
  </w:docVars>
  <w:rsids>
    <w:rsidRoot w:val="385769D8"/>
    <w:rsid w:val="385769D8"/>
    <w:rsid w:val="394C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4176</Words>
  <Characters>6605</Characters>
  <Lines>0</Lines>
  <Paragraphs>0</Paragraphs>
  <TotalTime>6</TotalTime>
  <ScaleCrop>false</ScaleCrop>
  <LinksUpToDate>false</LinksUpToDate>
  <CharactersWithSpaces>6607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2023-09-04T04:28:00Z</dcterms:created>
  <dc:creator>郑柱红</dc:creator>
  <cp:lastModifiedBy>郑柱红</cp:lastModifiedBy>
  <dcterms:modified xsi:type="dcterms:W3CDTF">2023-09-04T05:27:45Z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92EC6B2920624C64B5D1DDCFD78EA0BD_11</vt:lpwstr>
  </property>
</Properties>
</file>