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eastAsia="方正小标宋简体" w:cs="Times New Roman"/>
          <w:sz w:val="46"/>
          <w:szCs w:val="46"/>
        </w:rPr>
      </w:pPr>
    </w:p>
    <w:p>
      <w:pPr>
        <w:spacing w:line="800" w:lineRule="exact"/>
        <w:jc w:val="center"/>
        <w:rPr>
          <w:rFonts w:hint="eastAsia" w:ascii="宋体" w:hAnsi="宋体" w:eastAsia="方正小标宋简体" w:cs="Times New Roman"/>
          <w:sz w:val="46"/>
          <w:szCs w:val="46"/>
        </w:rPr>
      </w:pPr>
    </w:p>
    <w:p>
      <w:pPr>
        <w:spacing w:line="800" w:lineRule="exact"/>
        <w:jc w:val="center"/>
        <w:rPr>
          <w:rFonts w:hint="eastAsia" w:ascii="宋体" w:hAnsi="宋体" w:eastAsia="方正小标宋简体" w:cs="Times New Roman"/>
          <w:sz w:val="46"/>
          <w:szCs w:val="46"/>
        </w:rPr>
      </w:pPr>
    </w:p>
    <w:p>
      <w:pPr>
        <w:spacing w:line="800" w:lineRule="exact"/>
        <w:jc w:val="center"/>
        <w:rPr>
          <w:rFonts w:hint="eastAsia" w:ascii="宋体" w:hAnsi="宋体" w:eastAsia="方正小标宋简体" w:cs="Times New Roman"/>
          <w:sz w:val="46"/>
          <w:szCs w:val="46"/>
        </w:rPr>
      </w:pPr>
      <w:r>
        <w:rPr>
          <w:rFonts w:hint="eastAsia" w:ascii="宋体" w:hAnsi="宋体" w:eastAsia="方正小标宋简体" w:cs="Times New Roman"/>
          <w:sz w:val="46"/>
          <w:szCs w:val="46"/>
        </w:rPr>
        <w:t>岳麓区20</w:t>
      </w:r>
      <w:r>
        <w:rPr>
          <w:rFonts w:hint="eastAsia" w:ascii="宋体" w:hAnsi="宋体" w:eastAsia="方正小标宋简体" w:cs="Times New Roman"/>
          <w:sz w:val="46"/>
          <w:szCs w:val="46"/>
          <w:u w:val="single"/>
          <w:lang w:val="en-US" w:eastAsia="zh-CN"/>
        </w:rPr>
        <w:t>19</w:t>
      </w:r>
      <w:r>
        <w:rPr>
          <w:rFonts w:hint="eastAsia" w:ascii="宋体" w:hAnsi="宋体" w:eastAsia="方正小标宋简体" w:cs="Times New Roman"/>
          <w:sz w:val="46"/>
          <w:szCs w:val="46"/>
        </w:rPr>
        <w:t>年度部门（单位）整体支出</w:t>
      </w:r>
    </w:p>
    <w:p>
      <w:pPr>
        <w:spacing w:line="800" w:lineRule="exact"/>
        <w:jc w:val="center"/>
        <w:rPr>
          <w:rFonts w:hint="eastAsia" w:ascii="宋体" w:hAnsi="宋体" w:eastAsia="方正小标宋简体" w:cs="Times New Roman"/>
          <w:sz w:val="46"/>
          <w:szCs w:val="46"/>
        </w:rPr>
      </w:pPr>
      <w:r>
        <w:rPr>
          <w:rFonts w:hint="eastAsia" w:ascii="宋体" w:hAnsi="宋体" w:eastAsia="方正小标宋简体" w:cs="Times New Roman"/>
          <w:sz w:val="46"/>
          <w:szCs w:val="46"/>
        </w:rPr>
        <w:t>绩效评价自评报告</w:t>
      </w:r>
    </w:p>
    <w:p>
      <w:pPr>
        <w:rPr>
          <w:rFonts w:hint="eastAsia" w:ascii="宋体" w:hAnsi="宋体" w:eastAsia="仿宋_GB2312" w:cs="Times New Roman"/>
          <w:sz w:val="32"/>
        </w:rPr>
      </w:pPr>
    </w:p>
    <w:p>
      <w:pPr>
        <w:rPr>
          <w:rFonts w:hint="eastAsia" w:ascii="宋体" w:hAnsi="宋体" w:eastAsia="仿宋_GB2312" w:cs="Times New Roman"/>
          <w:sz w:val="32"/>
        </w:rPr>
      </w:pPr>
    </w:p>
    <w:p>
      <w:pPr>
        <w:rPr>
          <w:rFonts w:hint="eastAsia" w:ascii="宋体" w:hAnsi="宋体" w:eastAsia="仿宋_GB2312" w:cs="Times New Roman"/>
          <w:sz w:val="32"/>
        </w:rPr>
      </w:pPr>
    </w:p>
    <w:p>
      <w:pPr>
        <w:spacing w:before="120" w:beforeLines="50" w:line="348" w:lineRule="auto"/>
        <w:ind w:left="0" w:leftChars="0" w:firstLine="0" w:firstLineChars="0"/>
        <w:rPr>
          <w:rFonts w:hint="eastAsia" w:ascii="宋体" w:hAnsi="宋体" w:eastAsia="仿宋_GB2312" w:cs="Times New Roman"/>
          <w:sz w:val="32"/>
          <w:u w:val="single"/>
        </w:rPr>
      </w:pPr>
      <w:r>
        <w:rPr>
          <w:rFonts w:hint="eastAsia" w:ascii="宋体" w:hAnsi="宋体" w:eastAsia="仿宋_GB2312" w:cs="Times New Roman"/>
          <w:sz w:val="32"/>
        </w:rPr>
        <w:t>部门(单位)名称</w:t>
      </w:r>
      <w:r>
        <w:rPr>
          <w:rFonts w:hint="eastAsia" w:ascii="宋体" w:hAnsi="宋体" w:eastAsia="仿宋_GB2312" w:cs="Times New Roman"/>
          <w:sz w:val="32"/>
          <w:u w:val="single"/>
        </w:rPr>
        <w:t xml:space="preserve">   </w:t>
      </w:r>
      <w:r>
        <w:rPr>
          <w:rFonts w:hint="eastAsia" w:ascii="宋体" w:hAnsi="宋体" w:eastAsia="仿宋_GB2312" w:cs="Times New Roman"/>
          <w:sz w:val="32"/>
          <w:u w:val="single"/>
          <w:lang w:val="en-US" w:eastAsia="zh-CN"/>
        </w:rPr>
        <w:t>长沙市</w:t>
      </w:r>
      <w:r>
        <w:rPr>
          <w:rFonts w:hint="eastAsia" w:ascii="宋体" w:hAnsi="宋体" w:eastAsia="仿宋_GB2312" w:cs="Times New Roman"/>
          <w:sz w:val="32"/>
          <w:u w:val="single"/>
          <w:lang w:eastAsia="zh-CN"/>
        </w:rPr>
        <w:t>岳麓区科学技术局</w:t>
      </w:r>
      <w:r>
        <w:rPr>
          <w:rFonts w:hint="eastAsia" w:ascii="宋体" w:hAnsi="宋体" w:eastAsia="仿宋_GB2312" w:cs="Times New Roman"/>
          <w:sz w:val="32"/>
          <w:u w:val="single"/>
        </w:rPr>
        <w:t xml:space="preserve"> </w:t>
      </w:r>
      <w:r>
        <w:rPr>
          <w:rFonts w:hint="eastAsia" w:ascii="宋体" w:hAnsi="宋体" w:eastAsia="仿宋_GB2312" w:cs="Times New Roman"/>
          <w:sz w:val="32"/>
          <w:u w:val="single"/>
          <w:lang w:val="en-US" w:eastAsia="zh-CN"/>
        </w:rPr>
        <w:t xml:space="preserve">       </w:t>
      </w:r>
      <w:r>
        <w:rPr>
          <w:rFonts w:hint="eastAsia" w:ascii="宋体" w:hAnsi="宋体" w:eastAsia="仿宋_GB2312" w:cs="Times New Roman"/>
          <w:sz w:val="32"/>
          <w:u w:val="single"/>
        </w:rPr>
        <w:t xml:space="preserve">      </w:t>
      </w:r>
    </w:p>
    <w:p>
      <w:pPr>
        <w:spacing w:before="120" w:beforeLines="50" w:line="348" w:lineRule="auto"/>
        <w:rPr>
          <w:rFonts w:hint="eastAsia" w:ascii="宋体" w:hAnsi="宋体" w:eastAsia="仿宋_GB2312" w:cs="Times New Roman"/>
          <w:sz w:val="32"/>
        </w:rPr>
      </w:pPr>
      <w:r>
        <w:rPr>
          <w:rFonts w:hint="eastAsia" w:ascii="宋体" w:hAnsi="宋体" w:eastAsia="仿宋_GB2312" w:cs="Times New Roman"/>
          <w:sz w:val="32"/>
        </w:rPr>
        <w:t>预算编码</w:t>
      </w:r>
      <w:r>
        <w:rPr>
          <w:rFonts w:hint="eastAsia" w:ascii="宋体" w:hAnsi="宋体" w:eastAsia="仿宋_GB2312" w:cs="Times New Roman"/>
          <w:sz w:val="32"/>
          <w:u w:val="single"/>
        </w:rPr>
        <w:t xml:space="preserve">            </w:t>
      </w:r>
      <w:r>
        <w:rPr>
          <w:rFonts w:hint="eastAsia" w:ascii="宋体" w:hAnsi="宋体" w:eastAsia="仿宋_GB2312" w:cs="Times New Roman"/>
          <w:sz w:val="32"/>
          <w:u w:val="single"/>
          <w:lang w:val="en-US" w:eastAsia="zh-CN"/>
        </w:rPr>
        <w:t xml:space="preserve">   </w:t>
      </w:r>
      <w:r>
        <w:rPr>
          <w:rFonts w:hint="eastAsia" w:ascii="宋体" w:hAnsi="宋体" w:eastAsia="仿宋_GB2312" w:cs="Times New Roman"/>
          <w:sz w:val="32"/>
          <w:u w:val="single"/>
        </w:rPr>
        <w:t xml:space="preserve">   </w:t>
      </w:r>
      <w:r>
        <w:rPr>
          <w:rFonts w:hint="eastAsia" w:ascii="宋体" w:hAnsi="宋体" w:eastAsia="仿宋_GB2312" w:cs="Times New Roman"/>
          <w:sz w:val="32"/>
          <w:u w:val="single"/>
          <w:lang w:val="en-US" w:eastAsia="zh-CN"/>
        </w:rPr>
        <w:t>202001</w:t>
      </w:r>
      <w:r>
        <w:rPr>
          <w:rFonts w:hint="eastAsia" w:ascii="宋体" w:hAnsi="宋体" w:eastAsia="仿宋_GB2312" w:cs="Times New Roman"/>
          <w:sz w:val="32"/>
          <w:u w:val="single"/>
        </w:rPr>
        <w:t xml:space="preserve">                 </w:t>
      </w:r>
    </w:p>
    <w:p>
      <w:pPr>
        <w:spacing w:before="120" w:beforeLines="50" w:line="348" w:lineRule="auto"/>
        <w:ind w:firstLine="480" w:firstLineChars="150"/>
        <w:rPr>
          <w:rFonts w:hint="eastAsia" w:ascii="宋体" w:hAnsi="宋体" w:eastAsia="仿宋_GB2312" w:cs="Times New Roman"/>
          <w:sz w:val="32"/>
        </w:rPr>
      </w:pPr>
      <w:r>
        <w:rPr>
          <w:rFonts w:hint="eastAsia" w:ascii="宋体" w:hAnsi="宋体" w:eastAsia="仿宋_GB2312" w:cs="Times New Roman"/>
          <w:sz w:val="32"/>
        </w:rPr>
        <w:t>评价方式：</w:t>
      </w:r>
      <w:r>
        <w:rPr>
          <w:rFonts w:hint="eastAsia" w:ascii="宋体" w:hAnsi="宋体" w:eastAsia="仿宋_GB2312" w:cs="Times New Roman"/>
          <w:sz w:val="28"/>
          <w:szCs w:val="28"/>
        </w:rPr>
        <w:t>部门（单位）绩效自评</w:t>
      </w:r>
    </w:p>
    <w:p>
      <w:pPr>
        <w:spacing w:before="120" w:beforeLines="50" w:line="348" w:lineRule="auto"/>
        <w:ind w:firstLine="480" w:firstLineChars="150"/>
        <w:rPr>
          <w:rFonts w:hint="eastAsia" w:ascii="宋体" w:hAnsi="宋体" w:eastAsia="仿宋_GB2312" w:cs="Times New Roman"/>
          <w:sz w:val="32"/>
        </w:rPr>
      </w:pPr>
      <w:r>
        <w:rPr>
          <w:rFonts w:hint="eastAsia" w:ascii="宋体" w:hAnsi="宋体" w:eastAsia="仿宋_GB2312" w:cs="Times New Roman"/>
          <w:sz w:val="32"/>
          <w:szCs w:val="32"/>
        </w:rPr>
        <w:t>评价机构：</w:t>
      </w:r>
      <w:r>
        <w:rPr>
          <w:rFonts w:hint="eastAsia" w:ascii="宋体" w:hAnsi="宋体" w:eastAsia="仿宋_GB2312" w:cs="Times New Roman"/>
          <w:sz w:val="28"/>
          <w:szCs w:val="28"/>
        </w:rPr>
        <w:t xml:space="preserve">部门（单位）评价组   </w:t>
      </w:r>
    </w:p>
    <w:p>
      <w:pPr>
        <w:spacing w:line="600" w:lineRule="exact"/>
        <w:ind w:firstLine="480" w:firstLineChars="150"/>
        <w:rPr>
          <w:rFonts w:hint="eastAsia" w:ascii="宋体" w:hAnsi="宋体" w:eastAsia="仿宋_GB2312" w:cs="Times New Roman"/>
          <w:sz w:val="32"/>
        </w:rPr>
      </w:pPr>
    </w:p>
    <w:p>
      <w:pPr>
        <w:spacing w:line="600" w:lineRule="exact"/>
        <w:ind w:firstLine="480" w:firstLineChars="150"/>
        <w:rPr>
          <w:rFonts w:hint="eastAsia" w:ascii="宋体" w:hAnsi="宋体" w:eastAsia="仿宋_GB2312" w:cs="Times New Roman"/>
          <w:sz w:val="32"/>
        </w:rPr>
      </w:pPr>
    </w:p>
    <w:p>
      <w:pPr>
        <w:spacing w:line="600" w:lineRule="exact"/>
        <w:ind w:firstLine="480" w:firstLineChars="150"/>
        <w:rPr>
          <w:rFonts w:hint="eastAsia" w:ascii="宋体" w:hAnsi="宋体" w:eastAsia="仿宋_GB2312" w:cs="Times New Roman"/>
          <w:sz w:val="32"/>
          <w:lang w:eastAsia="zh-CN"/>
        </w:rPr>
      </w:pPr>
      <w:r>
        <w:rPr>
          <w:rFonts w:hint="eastAsia" w:ascii="宋体" w:hAnsi="宋体" w:eastAsia="仿宋_GB2312" w:cs="Times New Roman"/>
          <w:sz w:val="32"/>
        </w:rPr>
        <w:t>单位负责人（签章）：</w:t>
      </w:r>
      <w:r>
        <w:rPr>
          <w:rFonts w:hint="eastAsia" w:ascii="宋体" w:hAnsi="宋体" w:eastAsia="仿宋_GB2312" w:cs="Times New Roman"/>
          <w:sz w:val="32"/>
          <w:lang w:eastAsia="zh-CN"/>
        </w:rPr>
        <w:t>余亚锋</w:t>
      </w:r>
    </w:p>
    <w:p>
      <w:pPr>
        <w:spacing w:line="600" w:lineRule="exact"/>
        <w:ind w:firstLine="480" w:firstLineChars="150"/>
        <w:rPr>
          <w:rFonts w:hint="eastAsia" w:ascii="宋体" w:hAnsi="宋体" w:eastAsia="仿宋_GB2312" w:cs="Times New Roman"/>
          <w:sz w:val="32"/>
          <w:lang w:eastAsia="zh-CN"/>
        </w:rPr>
      </w:pPr>
      <w:r>
        <w:rPr>
          <w:rFonts w:hint="eastAsia" w:ascii="宋体" w:hAnsi="宋体" w:eastAsia="仿宋_GB2312" w:cs="Times New Roman"/>
          <w:sz w:val="32"/>
        </w:rPr>
        <w:t>项目负责人（签章）：</w:t>
      </w:r>
      <w:r>
        <w:rPr>
          <w:rFonts w:hint="eastAsia" w:ascii="宋体" w:hAnsi="宋体" w:eastAsia="仿宋_GB2312" w:cs="Times New Roman"/>
          <w:sz w:val="32"/>
          <w:lang w:eastAsia="zh-CN"/>
        </w:rPr>
        <w:t>欧阳李欢</w:t>
      </w:r>
    </w:p>
    <w:p>
      <w:pPr>
        <w:spacing w:line="600" w:lineRule="exact"/>
        <w:ind w:firstLine="480" w:firstLineChars="150"/>
        <w:rPr>
          <w:rFonts w:hint="eastAsia" w:ascii="宋体" w:hAnsi="宋体" w:eastAsia="仿宋_GB2312" w:cs="Times New Roman"/>
          <w:sz w:val="32"/>
          <w:lang w:eastAsia="zh-CN"/>
        </w:rPr>
      </w:pPr>
      <w:r>
        <w:rPr>
          <w:rFonts w:hint="eastAsia" w:ascii="宋体" w:hAnsi="宋体" w:eastAsia="仿宋_GB2312" w:cs="Times New Roman"/>
          <w:sz w:val="32"/>
        </w:rPr>
        <w:t>报告填报人（签章）：</w:t>
      </w:r>
      <w:r>
        <w:rPr>
          <w:rFonts w:hint="eastAsia" w:ascii="宋体" w:hAnsi="宋体" w:eastAsia="仿宋_GB2312" w:cs="Times New Roman"/>
          <w:sz w:val="32"/>
          <w:lang w:eastAsia="zh-CN"/>
        </w:rPr>
        <w:t>刘</w:t>
      </w:r>
      <w:r>
        <w:rPr>
          <w:rFonts w:hint="eastAsia" w:ascii="宋体" w:hAnsi="宋体" w:eastAsia="仿宋_GB2312" w:cs="Times New Roman"/>
          <w:sz w:val="32"/>
          <w:lang w:val="en-US" w:eastAsia="zh-CN"/>
        </w:rPr>
        <w:t xml:space="preserve">  </w:t>
      </w:r>
      <w:r>
        <w:rPr>
          <w:rFonts w:hint="eastAsia" w:ascii="宋体" w:hAnsi="宋体" w:eastAsia="仿宋_GB2312" w:cs="Times New Roman"/>
          <w:sz w:val="32"/>
          <w:lang w:eastAsia="zh-CN"/>
        </w:rPr>
        <w:t>政</w:t>
      </w:r>
    </w:p>
    <w:p>
      <w:pPr>
        <w:spacing w:line="348" w:lineRule="auto"/>
        <w:ind w:firstLine="3648" w:firstLineChars="1140"/>
        <w:rPr>
          <w:rFonts w:hint="eastAsia" w:ascii="宋体" w:hAnsi="宋体" w:eastAsia="仿宋_GB2312" w:cs="Times New Roman"/>
          <w:sz w:val="32"/>
        </w:rPr>
      </w:pPr>
    </w:p>
    <w:p>
      <w:pPr>
        <w:autoSpaceDN w:val="0"/>
        <w:jc w:val="center"/>
        <w:textAlignment w:val="center"/>
        <w:rPr>
          <w:rFonts w:hint="eastAsia" w:ascii="宋体" w:hAnsi="宋体" w:eastAsia="仿宋_GB2312" w:cs="Times New Roman"/>
          <w:sz w:val="32"/>
          <w:szCs w:val="32"/>
        </w:rPr>
      </w:pPr>
      <w:r>
        <w:rPr>
          <w:rFonts w:hint="eastAsia" w:ascii="宋体" w:hAnsi="宋体" w:eastAsia="仿宋_GB2312" w:cs="Times New Roman"/>
          <w:sz w:val="32"/>
        </w:rPr>
        <w:t xml:space="preserve">                  部门名称（加盖公章）</w:t>
      </w:r>
    </w:p>
    <w:p>
      <w:pPr>
        <w:spacing w:line="348" w:lineRule="auto"/>
        <w:ind w:firstLine="3648" w:firstLineChars="1140"/>
        <w:rPr>
          <w:rFonts w:hint="eastAsia" w:ascii="宋体" w:hAnsi="宋体" w:eastAsia="仿宋_GB2312" w:cs="Times New Roman"/>
          <w:sz w:val="32"/>
        </w:rPr>
      </w:pPr>
    </w:p>
    <w:p>
      <w:pPr>
        <w:spacing w:line="348" w:lineRule="auto"/>
        <w:ind w:firstLine="3648" w:firstLineChars="1140"/>
        <w:rPr>
          <w:rFonts w:hint="eastAsia" w:ascii="宋体" w:hAnsi="宋体" w:eastAsia="仿宋_GB2312" w:cs="Times New Roman"/>
          <w:sz w:val="32"/>
        </w:rPr>
      </w:pPr>
      <w:r>
        <w:rPr>
          <w:rFonts w:hint="eastAsia" w:ascii="宋体" w:hAnsi="宋体" w:eastAsia="仿宋_GB2312" w:cs="Times New Roman"/>
          <w:sz w:val="32"/>
        </w:rPr>
        <w:t>报告日期：</w:t>
      </w:r>
      <w:r>
        <w:rPr>
          <w:rFonts w:hint="eastAsia" w:ascii="宋体" w:hAnsi="宋体" w:eastAsia="仿宋_GB2312" w:cs="Times New Roman"/>
          <w:sz w:val="32"/>
          <w:lang w:val="en-US" w:eastAsia="zh-CN"/>
        </w:rPr>
        <w:t>2020</w:t>
      </w:r>
      <w:r>
        <w:rPr>
          <w:rFonts w:hint="eastAsia" w:ascii="宋体" w:hAnsi="宋体" w:eastAsia="仿宋_GB2312" w:cs="Times New Roman"/>
          <w:sz w:val="32"/>
        </w:rPr>
        <w:t>年</w:t>
      </w:r>
      <w:r>
        <w:rPr>
          <w:rFonts w:hint="eastAsia" w:ascii="宋体" w:hAnsi="宋体" w:eastAsia="仿宋_GB2312" w:cs="Times New Roman"/>
          <w:sz w:val="32"/>
          <w:lang w:val="en-US" w:eastAsia="zh-CN"/>
        </w:rPr>
        <w:t>3</w:t>
      </w:r>
      <w:r>
        <w:rPr>
          <w:rFonts w:hint="eastAsia" w:ascii="宋体" w:hAnsi="宋体" w:eastAsia="仿宋_GB2312" w:cs="Times New Roman"/>
          <w:sz w:val="32"/>
        </w:rPr>
        <w:t>月</w:t>
      </w:r>
      <w:r>
        <w:rPr>
          <w:rFonts w:hint="eastAsia" w:ascii="宋体" w:hAnsi="宋体" w:eastAsia="仿宋_GB2312" w:cs="Times New Roman"/>
          <w:sz w:val="32"/>
          <w:lang w:val="en-US" w:eastAsia="zh-CN"/>
        </w:rPr>
        <w:t>26</w:t>
      </w:r>
      <w:r>
        <w:rPr>
          <w:rFonts w:hint="eastAsia" w:ascii="宋体" w:hAnsi="宋体" w:eastAsia="仿宋_GB2312" w:cs="Times New Roman"/>
          <w:sz w:val="32"/>
        </w:rPr>
        <w:t>日</w:t>
      </w:r>
    </w:p>
    <w:p>
      <w:pPr>
        <w:autoSpaceDN w:val="0"/>
        <w:textAlignment w:val="center"/>
        <w:rPr>
          <w:rFonts w:hint="eastAsia" w:ascii="宋体" w:hAnsi="宋体" w:eastAsia="仿宋_GB2312" w:cs="Times New Roman"/>
          <w:sz w:val="32"/>
          <w:szCs w:val="32"/>
        </w:rPr>
      </w:pPr>
      <w:r>
        <w:rPr>
          <w:rFonts w:hint="eastAsia" w:ascii="宋体" w:hAnsi="宋体" w:eastAsia="仿宋_GB2312" w:cs="Times New Roman"/>
          <w:sz w:val="32"/>
        </w:rPr>
        <w:t xml:space="preserve">                   </w:t>
      </w:r>
      <w:r>
        <w:rPr>
          <w:rFonts w:hint="eastAsia" w:ascii="宋体" w:hAnsi="宋体" w:eastAsia="方正小标宋简体" w:cs="Times New Roman"/>
          <w:sz w:val="36"/>
          <w:szCs w:val="36"/>
        </w:rPr>
        <w:t>整体支出绩效报告表</w:t>
      </w:r>
    </w:p>
    <w:tbl>
      <w:tblPr>
        <w:tblStyle w:val="6"/>
        <w:tblW w:w="9447" w:type="dxa"/>
        <w:jc w:val="center"/>
        <w:tblLayout w:type="fixed"/>
        <w:tblCellMar>
          <w:top w:w="0" w:type="dxa"/>
          <w:left w:w="108" w:type="dxa"/>
          <w:bottom w:w="0" w:type="dxa"/>
          <w:right w:w="108" w:type="dxa"/>
        </w:tblCellMar>
      </w:tblPr>
      <w:tblGrid>
        <w:gridCol w:w="1276"/>
        <w:gridCol w:w="401"/>
        <w:gridCol w:w="879"/>
        <w:gridCol w:w="1217"/>
        <w:gridCol w:w="905"/>
        <w:gridCol w:w="382"/>
        <w:gridCol w:w="881"/>
        <w:gridCol w:w="1115"/>
        <w:gridCol w:w="145"/>
        <w:gridCol w:w="525"/>
        <w:gridCol w:w="39"/>
        <w:gridCol w:w="381"/>
        <w:gridCol w:w="470"/>
        <w:gridCol w:w="708"/>
        <w:gridCol w:w="123"/>
      </w:tblGrid>
      <w:tr>
        <w:tblPrEx>
          <w:tblCellMar>
            <w:top w:w="0" w:type="dxa"/>
            <w:left w:w="108" w:type="dxa"/>
            <w:bottom w:w="0" w:type="dxa"/>
            <w:right w:w="108" w:type="dxa"/>
          </w:tblCellMar>
        </w:tblPrEx>
        <w:trPr>
          <w:trHeight w:val="8859" w:hRule="exact"/>
          <w:jc w:val="center"/>
        </w:trPr>
        <w:tc>
          <w:tcPr>
            <w:tcW w:w="16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部门职责</w:t>
            </w:r>
          </w:p>
        </w:tc>
        <w:tc>
          <w:tcPr>
            <w:tcW w:w="7770" w:type="dxa"/>
            <w:gridSpan w:val="1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（一）贯彻创新驱动发展战略和创新引领开放崛起战略，拟订全区科技创新发展、引进国外及国内智力规划和政策并组织实施。</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（二）统筹推进全区创新体系建设和科技体制改革，会同有关部门健全技术创新激励机制。推动企业科技创新能力建设。拟订科学普及和科学传播规划、政策。协调配合创建国家创新型城市有关工作。</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（三）承担区科技专项资金协调、组织评审和项目立项工作。会同有关部门提出优化配置科技资源的政策措施建议，推动多元化科技投入体系建设，协调管理区级财政科技计划并组织实施。</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（四）参与拟订高新技术发展及产业化、科技促进农业农村和社会发展的规划、政策和措施。参与开展重点领域技术发展需求分析，提出重大任务并组织实施。</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（五）牵头区级技术转移体系建设，提出科技成果转移转化和促进产学研结合的相关政策措施并组织实施。指导科技服务业、技术市场、科技金融结合和科技中介组织发展。</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（六）统筹区域科技创新体系建设，指导区域创新发展、科技资源合理布局和协同创新能力建设。推动科技园区建设。推动科研条件保障建设和科技资源开放共享。</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（七）参与科技监督评价体系建设和相关科技评估管理，指导科技评价机制改革，推进科研诚信建设。组织实施全区创新调查和科技报告制度，指导全区科技保密工作。</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（八）拟订科技对外交往与创新能力开发合作的规划、政策和措施，组织开展科技合作与科技人才交流。指导相关部门对外科技合作与科技人才交流工作。</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九）负责引进国外和国内智力工作。拟订全区重点引进国内外专家总体规划、计划并组织实施，参与建立国外和国内顶尖科学家、团队吸引集聚机制和重点国内外专家联系服务机制。拟订出国（境）培训总体规划、政策和年度计划并组织实施。</w:t>
            </w:r>
          </w:p>
          <w:p>
            <w:pPr>
              <w:keepNext w:val="0"/>
              <w:keepLines w:val="0"/>
              <w:pageBreakBefore w:val="0"/>
              <w:widowControl/>
              <w:kinsoku/>
              <w:wordWrap/>
              <w:overflowPunct/>
              <w:topLinePunct w:val="0"/>
              <w:autoSpaceDE/>
              <w:autoSpaceDN/>
              <w:bidi w:val="0"/>
              <w:adjustRightInd/>
              <w:snapToGrid/>
              <w:spacing w:line="280" w:lineRule="exact"/>
              <w:ind w:left="0" w:leftChars="0" w:firstLine="480" w:firstLineChars="200"/>
              <w:jc w:val="both"/>
              <w:textAlignment w:val="auto"/>
              <w:rPr>
                <w:rFonts w:ascii="宋体" w:hAnsi="宋体" w:eastAsia="宋体" w:cs="Times New Roman"/>
                <w:szCs w:val="21"/>
              </w:rPr>
            </w:pPr>
            <w:r>
              <w:rPr>
                <w:rFonts w:hint="eastAsia" w:ascii="仿宋" w:hAnsi="仿宋" w:eastAsia="仿宋" w:cs="仿宋"/>
                <w:sz w:val="24"/>
                <w:szCs w:val="24"/>
              </w:rPr>
              <w:t>（十）会同有关部门拟订科技人才队伍建设规划和政策，建立健全科技人才评价和激励机制，组织实施科技人才计划，推动高端科技创新人才队伍建设。</w:t>
            </w:r>
          </w:p>
        </w:tc>
      </w:tr>
      <w:tr>
        <w:tblPrEx>
          <w:tblCellMar>
            <w:top w:w="0" w:type="dxa"/>
            <w:left w:w="108" w:type="dxa"/>
            <w:bottom w:w="0" w:type="dxa"/>
            <w:right w:w="108" w:type="dxa"/>
          </w:tblCellMar>
        </w:tblPrEx>
        <w:trPr>
          <w:gridAfter w:val="1"/>
          <w:wAfter w:w="123" w:type="dxa"/>
          <w:trHeight w:val="610" w:hRule="exact"/>
          <w:jc w:val="center"/>
        </w:trPr>
        <w:tc>
          <w:tcPr>
            <w:tcW w:w="167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人员编制</w:t>
            </w:r>
          </w:p>
        </w:tc>
        <w:tc>
          <w:tcPr>
            <w:tcW w:w="4264"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11</w:t>
            </w:r>
          </w:p>
        </w:tc>
        <w:tc>
          <w:tcPr>
            <w:tcW w:w="11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实有人数</w:t>
            </w:r>
          </w:p>
        </w:tc>
        <w:tc>
          <w:tcPr>
            <w:tcW w:w="226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12</w:t>
            </w:r>
          </w:p>
        </w:tc>
      </w:tr>
      <w:tr>
        <w:tblPrEx>
          <w:tblCellMar>
            <w:top w:w="0" w:type="dxa"/>
            <w:left w:w="108" w:type="dxa"/>
            <w:bottom w:w="0" w:type="dxa"/>
            <w:right w:w="108" w:type="dxa"/>
          </w:tblCellMar>
        </w:tblPrEx>
        <w:trPr>
          <w:gridAfter w:val="1"/>
          <w:wAfter w:w="123" w:type="dxa"/>
          <w:trHeight w:val="655" w:hRule="exact"/>
          <w:jc w:val="center"/>
        </w:trPr>
        <w:tc>
          <w:tcPr>
            <w:tcW w:w="167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整体资金</w:t>
            </w:r>
            <w:r>
              <w:rPr>
                <w:rFonts w:hint="eastAsia" w:ascii="宋体" w:hAnsi="宋体" w:eastAsia="宋体" w:cs="Times New Roman"/>
                <w:szCs w:val="21"/>
              </w:rPr>
              <w:br w:type="textWrapping"/>
            </w:r>
            <w:r>
              <w:rPr>
                <w:rFonts w:hint="eastAsia" w:ascii="宋体" w:hAnsi="宋体" w:eastAsia="宋体" w:cs="Times New Roman"/>
                <w:szCs w:val="21"/>
              </w:rPr>
              <w:t>（万元）</w:t>
            </w:r>
          </w:p>
        </w:tc>
        <w:tc>
          <w:tcPr>
            <w:tcW w:w="20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9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年</w:t>
            </w:r>
            <w:r>
              <w:rPr>
                <w:rFonts w:hint="eastAsia" w:ascii="宋体" w:hAnsi="宋体" w:cs="Times New Roman"/>
                <w:szCs w:val="21"/>
                <w:lang w:val="en-US" w:eastAsia="zh-CN"/>
              </w:rPr>
              <w:t xml:space="preserve">  </w:t>
            </w:r>
            <w:r>
              <w:rPr>
                <w:rFonts w:hint="eastAsia" w:ascii="宋体" w:hAnsi="宋体" w:eastAsia="宋体" w:cs="Times New Roman"/>
                <w:szCs w:val="21"/>
              </w:rPr>
              <w:t>初预算数</w:t>
            </w:r>
          </w:p>
        </w:tc>
        <w:tc>
          <w:tcPr>
            <w:tcW w:w="12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全</w:t>
            </w:r>
            <w:r>
              <w:rPr>
                <w:rFonts w:hint="eastAsia" w:ascii="宋体" w:hAnsi="宋体" w:cs="Times New Roman"/>
                <w:szCs w:val="21"/>
                <w:lang w:val="en-US" w:eastAsia="zh-CN"/>
              </w:rPr>
              <w:t xml:space="preserve">  </w:t>
            </w:r>
            <w:r>
              <w:rPr>
                <w:rFonts w:hint="eastAsia" w:ascii="宋体" w:hAnsi="宋体" w:eastAsia="宋体" w:cs="Times New Roman"/>
                <w:szCs w:val="21"/>
              </w:rPr>
              <w:t>年</w:t>
            </w:r>
            <w:r>
              <w:rPr>
                <w:rFonts w:hint="eastAsia" w:ascii="宋体" w:hAnsi="宋体" w:cs="Times New Roman"/>
                <w:szCs w:val="21"/>
                <w:lang w:val="en-US" w:eastAsia="zh-CN"/>
              </w:rPr>
              <w:t xml:space="preserve"> </w:t>
            </w:r>
            <w:r>
              <w:rPr>
                <w:rFonts w:hint="eastAsia" w:ascii="宋体" w:hAnsi="宋体" w:eastAsia="宋体" w:cs="Times New Roman"/>
                <w:szCs w:val="21"/>
              </w:rPr>
              <w:t>预算数</w:t>
            </w:r>
          </w:p>
        </w:tc>
        <w:tc>
          <w:tcPr>
            <w:tcW w:w="11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全</w:t>
            </w:r>
            <w:r>
              <w:rPr>
                <w:rFonts w:hint="eastAsia" w:ascii="宋体" w:hAnsi="宋体" w:cs="Times New Roman"/>
                <w:szCs w:val="21"/>
                <w:lang w:val="en-US" w:eastAsia="zh-CN"/>
              </w:rPr>
              <w:t xml:space="preserve">  </w:t>
            </w:r>
            <w:r>
              <w:rPr>
                <w:rFonts w:hint="eastAsia" w:ascii="宋体" w:hAnsi="宋体" w:eastAsia="宋体" w:cs="Times New Roman"/>
                <w:szCs w:val="21"/>
              </w:rPr>
              <w:t>年</w:t>
            </w:r>
            <w:r>
              <w:rPr>
                <w:rFonts w:hint="eastAsia" w:ascii="宋体" w:hAnsi="宋体" w:cs="Times New Roman"/>
                <w:szCs w:val="21"/>
                <w:lang w:val="en-US" w:eastAsia="zh-CN"/>
              </w:rPr>
              <w:t xml:space="preserve"> </w:t>
            </w:r>
            <w:r>
              <w:rPr>
                <w:rFonts w:hint="eastAsia" w:ascii="宋体" w:hAnsi="宋体" w:eastAsia="宋体" w:cs="Times New Roman"/>
                <w:szCs w:val="21"/>
              </w:rPr>
              <w:t>执行数</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得分</w:t>
            </w:r>
          </w:p>
        </w:tc>
      </w:tr>
      <w:tr>
        <w:tblPrEx>
          <w:tblCellMar>
            <w:top w:w="0" w:type="dxa"/>
            <w:left w:w="108" w:type="dxa"/>
            <w:bottom w:w="0" w:type="dxa"/>
            <w:right w:w="108" w:type="dxa"/>
          </w:tblCellMar>
        </w:tblPrEx>
        <w:trPr>
          <w:gridAfter w:val="1"/>
          <w:wAfter w:w="123" w:type="dxa"/>
          <w:trHeight w:val="675" w:hRule="exact"/>
          <w:jc w:val="center"/>
        </w:trPr>
        <w:tc>
          <w:tcPr>
            <w:tcW w:w="16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0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Times New Roman"/>
                <w:szCs w:val="21"/>
              </w:rPr>
            </w:pPr>
            <w:r>
              <w:rPr>
                <w:rFonts w:hint="eastAsia" w:ascii="宋体" w:hAnsi="宋体" w:eastAsia="宋体" w:cs="Times New Roman"/>
                <w:szCs w:val="21"/>
              </w:rPr>
              <w:t>年度资金总额</w:t>
            </w:r>
          </w:p>
        </w:tc>
        <w:tc>
          <w:tcPr>
            <w:tcW w:w="9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321.47</w:t>
            </w:r>
          </w:p>
        </w:tc>
        <w:tc>
          <w:tcPr>
            <w:tcW w:w="12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5537.52</w:t>
            </w:r>
          </w:p>
        </w:tc>
        <w:tc>
          <w:tcPr>
            <w:tcW w:w="11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4297.24</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77.6</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tc>
      </w:tr>
      <w:tr>
        <w:tblPrEx>
          <w:tblCellMar>
            <w:top w:w="0" w:type="dxa"/>
            <w:left w:w="108" w:type="dxa"/>
            <w:bottom w:w="0" w:type="dxa"/>
            <w:right w:w="108" w:type="dxa"/>
          </w:tblCellMar>
        </w:tblPrEx>
        <w:trPr>
          <w:gridAfter w:val="1"/>
          <w:wAfter w:w="123" w:type="dxa"/>
          <w:trHeight w:val="541" w:hRule="exact"/>
          <w:jc w:val="center"/>
        </w:trPr>
        <w:tc>
          <w:tcPr>
            <w:tcW w:w="16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0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其中：当年财政拨款</w:t>
            </w:r>
          </w:p>
        </w:tc>
        <w:tc>
          <w:tcPr>
            <w:tcW w:w="9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321.47</w:t>
            </w:r>
          </w:p>
        </w:tc>
        <w:tc>
          <w:tcPr>
            <w:tcW w:w="12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4677.81</w:t>
            </w:r>
          </w:p>
        </w:tc>
        <w:tc>
          <w:tcPr>
            <w:tcW w:w="11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3530.42</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w:t>
            </w:r>
          </w:p>
        </w:tc>
      </w:tr>
      <w:tr>
        <w:tblPrEx>
          <w:tblCellMar>
            <w:top w:w="0" w:type="dxa"/>
            <w:left w:w="108" w:type="dxa"/>
            <w:bottom w:w="0" w:type="dxa"/>
            <w:right w:w="108" w:type="dxa"/>
          </w:tblCellMar>
        </w:tblPrEx>
        <w:trPr>
          <w:gridAfter w:val="1"/>
          <w:wAfter w:w="123" w:type="dxa"/>
          <w:trHeight w:val="580" w:hRule="exact"/>
          <w:jc w:val="center"/>
        </w:trPr>
        <w:tc>
          <w:tcPr>
            <w:tcW w:w="16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0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 xml:space="preserve">   </w:t>
            </w:r>
            <w:r>
              <w:rPr>
                <w:rFonts w:hint="eastAsia" w:ascii="宋体" w:hAnsi="宋体" w:cs="Times New Roman"/>
                <w:szCs w:val="21"/>
                <w:lang w:val="en-US" w:eastAsia="zh-CN"/>
              </w:rPr>
              <w:t xml:space="preserve"> </w:t>
            </w:r>
            <w:r>
              <w:rPr>
                <w:rFonts w:hint="eastAsia" w:ascii="宋体" w:hAnsi="宋体" w:eastAsia="宋体" w:cs="Times New Roman"/>
                <w:szCs w:val="21"/>
              </w:rPr>
              <w:t>上年结转资金</w:t>
            </w:r>
          </w:p>
        </w:tc>
        <w:tc>
          <w:tcPr>
            <w:tcW w:w="9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822.82</w:t>
            </w:r>
          </w:p>
        </w:tc>
        <w:tc>
          <w:tcPr>
            <w:tcW w:w="11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746.82</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w:t>
            </w:r>
          </w:p>
        </w:tc>
      </w:tr>
      <w:tr>
        <w:tblPrEx>
          <w:tblCellMar>
            <w:top w:w="0" w:type="dxa"/>
            <w:left w:w="108" w:type="dxa"/>
            <w:bottom w:w="0" w:type="dxa"/>
            <w:right w:w="108" w:type="dxa"/>
          </w:tblCellMar>
        </w:tblPrEx>
        <w:trPr>
          <w:gridAfter w:val="1"/>
          <w:wAfter w:w="123" w:type="dxa"/>
          <w:trHeight w:val="765" w:hRule="exact"/>
          <w:jc w:val="center"/>
        </w:trPr>
        <w:tc>
          <w:tcPr>
            <w:tcW w:w="167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0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 xml:space="preserve">  其他资金</w:t>
            </w:r>
          </w:p>
        </w:tc>
        <w:tc>
          <w:tcPr>
            <w:tcW w:w="90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36.89</w:t>
            </w:r>
          </w:p>
        </w:tc>
        <w:tc>
          <w:tcPr>
            <w:tcW w:w="11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20</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w:t>
            </w:r>
          </w:p>
        </w:tc>
      </w:tr>
      <w:tr>
        <w:tblPrEx>
          <w:tblCellMar>
            <w:top w:w="0" w:type="dxa"/>
            <w:left w:w="108" w:type="dxa"/>
            <w:bottom w:w="0" w:type="dxa"/>
            <w:right w:w="108" w:type="dxa"/>
          </w:tblCellMar>
        </w:tblPrEx>
        <w:trPr>
          <w:gridAfter w:val="1"/>
          <w:wAfter w:w="123" w:type="dxa"/>
          <w:trHeight w:val="300" w:hRule="exact"/>
          <w:jc w:val="center"/>
        </w:trPr>
        <w:tc>
          <w:tcPr>
            <w:tcW w:w="12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年度</w:t>
            </w:r>
            <w:r>
              <w:rPr>
                <w:rFonts w:hint="eastAsia" w:ascii="宋体" w:hAnsi="宋体" w:cs="Times New Roman"/>
                <w:szCs w:val="21"/>
                <w:lang w:val="en-US" w:eastAsia="zh-CN"/>
              </w:rPr>
              <w:t xml:space="preserve">     </w:t>
            </w:r>
            <w:r>
              <w:rPr>
                <w:rFonts w:hint="eastAsia" w:ascii="宋体" w:hAnsi="宋体" w:eastAsia="宋体" w:cs="Times New Roman"/>
                <w:szCs w:val="21"/>
              </w:rPr>
              <w:t>工作</w:t>
            </w:r>
            <w:r>
              <w:rPr>
                <w:rFonts w:hint="eastAsia" w:ascii="宋体" w:hAnsi="宋体" w:cs="Times New Roman"/>
                <w:szCs w:val="21"/>
                <w:lang w:val="en-US" w:eastAsia="zh-CN"/>
              </w:rPr>
              <w:t xml:space="preserve">     </w:t>
            </w:r>
            <w:r>
              <w:rPr>
                <w:rFonts w:hint="eastAsia" w:ascii="宋体" w:hAnsi="宋体" w:eastAsia="宋体" w:cs="Times New Roman"/>
                <w:szCs w:val="21"/>
              </w:rPr>
              <w:t>目标</w:t>
            </w:r>
          </w:p>
        </w:tc>
        <w:tc>
          <w:tcPr>
            <w:tcW w:w="46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预期目标</w:t>
            </w:r>
          </w:p>
        </w:tc>
        <w:tc>
          <w:tcPr>
            <w:tcW w:w="338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实际完成情况</w:t>
            </w:r>
          </w:p>
        </w:tc>
      </w:tr>
      <w:tr>
        <w:tblPrEx>
          <w:tblCellMar>
            <w:top w:w="0" w:type="dxa"/>
            <w:left w:w="108" w:type="dxa"/>
            <w:bottom w:w="0" w:type="dxa"/>
            <w:right w:w="108" w:type="dxa"/>
          </w:tblCellMar>
        </w:tblPrEx>
        <w:trPr>
          <w:gridAfter w:val="1"/>
          <w:wAfter w:w="123" w:type="dxa"/>
          <w:trHeight w:val="12857" w:hRule="exact"/>
          <w:jc w:val="center"/>
        </w:trPr>
        <w:tc>
          <w:tcPr>
            <w:tcW w:w="12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6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楷体" w:hAnsi="楷体" w:eastAsia="楷体" w:cs="楷体"/>
                <w:b/>
                <w:bCs/>
                <w:szCs w:val="21"/>
              </w:rPr>
            </w:pPr>
            <w:r>
              <w:rPr>
                <w:rFonts w:hint="eastAsia" w:ascii="楷体" w:hAnsi="楷体" w:eastAsia="楷体" w:cs="楷体"/>
                <w:b/>
                <w:bCs/>
                <w:szCs w:val="21"/>
              </w:rPr>
              <w:t>（一）培育高新技术产业，夯实科创基础。</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制定企业“登高行动方案”，建立高企后备企业库。</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开展高新技术企业认定培训，指导获批高企和小巨人企业兑现奖励政策。</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助推技术贸易合同成交。</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引导企业加大自主创新，提高全社会R&amp;D经费投入。</w:t>
            </w:r>
          </w:p>
          <w:p>
            <w:pPr>
              <w:widowControl/>
              <w:spacing w:line="240" w:lineRule="exact"/>
              <w:jc w:val="both"/>
              <w:rPr>
                <w:rFonts w:hint="eastAsia" w:ascii="楷体" w:hAnsi="楷体" w:eastAsia="楷体" w:cs="楷体"/>
                <w:b/>
                <w:bCs/>
                <w:szCs w:val="21"/>
              </w:rPr>
            </w:pPr>
            <w:r>
              <w:rPr>
                <w:rFonts w:hint="eastAsia" w:ascii="楷体" w:hAnsi="楷体" w:eastAsia="楷体" w:cs="楷体"/>
                <w:b/>
                <w:bCs/>
                <w:szCs w:val="21"/>
              </w:rPr>
              <w:t>（二）推进产业招商，科创经济态势强劲</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夯实产业招商基础，建立资源清单。</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开展产业招商活动，强化招商对接。</w:t>
            </w:r>
          </w:p>
          <w:p>
            <w:pPr>
              <w:widowControl/>
              <w:spacing w:line="240" w:lineRule="exact"/>
              <w:jc w:val="both"/>
              <w:rPr>
                <w:rFonts w:hint="eastAsia" w:ascii="仿宋" w:hAnsi="仿宋" w:eastAsia="仿宋" w:cs="仿宋"/>
                <w:szCs w:val="21"/>
              </w:rPr>
            </w:pPr>
            <w:r>
              <w:rPr>
                <w:rFonts w:hint="eastAsia" w:ascii="楷体" w:hAnsi="楷体" w:eastAsia="楷体" w:cs="楷体"/>
                <w:b/>
                <w:bCs/>
                <w:szCs w:val="21"/>
              </w:rPr>
              <w:t>（三）推动区校合作，成果转化逐步畅通</w:t>
            </w:r>
          </w:p>
          <w:p>
            <w:pPr>
              <w:widowControl/>
              <w:spacing w:line="240" w:lineRule="exact"/>
              <w:jc w:val="both"/>
              <w:rPr>
                <w:rFonts w:hint="eastAsia" w:ascii="仿宋" w:hAnsi="仿宋" w:eastAsia="仿宋" w:cs="仿宋"/>
                <w:szCs w:val="21"/>
              </w:rPr>
            </w:pPr>
            <w:r>
              <w:rPr>
                <w:rFonts w:hint="eastAsia" w:ascii="楷体" w:hAnsi="楷体" w:eastAsia="楷体" w:cs="楷体"/>
                <w:b/>
                <w:bCs/>
                <w:szCs w:val="21"/>
              </w:rPr>
              <w:t>（四）优化服务，创新氛围不断浓厚。</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lang w:eastAsia="zh-CN"/>
              </w:rPr>
              <w:t>举办多个创新创业</w:t>
            </w:r>
            <w:r>
              <w:rPr>
                <w:rFonts w:hint="eastAsia" w:ascii="仿宋" w:hAnsi="仿宋" w:eastAsia="仿宋" w:cs="仿宋"/>
                <w:szCs w:val="21"/>
              </w:rPr>
              <w:t>主题活动。</w:t>
            </w:r>
          </w:p>
          <w:p>
            <w:pPr>
              <w:widowControl/>
              <w:spacing w:line="240" w:lineRule="exact"/>
              <w:jc w:val="both"/>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lang w:eastAsia="zh-CN"/>
              </w:rPr>
              <w:t>积极开展</w:t>
            </w:r>
            <w:r>
              <w:rPr>
                <w:rFonts w:hint="eastAsia" w:ascii="仿宋" w:hAnsi="仿宋" w:eastAsia="仿宋" w:cs="仿宋"/>
                <w:szCs w:val="21"/>
              </w:rPr>
              <w:t>知识产权服务。</w:t>
            </w:r>
          </w:p>
          <w:p>
            <w:pPr>
              <w:widowControl/>
              <w:spacing w:line="240" w:lineRule="exact"/>
              <w:jc w:val="both"/>
              <w:rPr>
                <w:rFonts w:hint="eastAsia" w:ascii="仿宋" w:hAnsi="仿宋" w:eastAsia="仿宋" w:cs="仿宋"/>
                <w:szCs w:val="21"/>
                <w:lang w:eastAsia="zh-CN"/>
              </w:rPr>
            </w:pPr>
            <w:r>
              <w:rPr>
                <w:rFonts w:hint="eastAsia" w:ascii="仿宋" w:hAnsi="仿宋" w:eastAsia="仿宋" w:cs="仿宋"/>
                <w:szCs w:val="21"/>
                <w:lang w:val="en-US" w:eastAsia="zh-CN"/>
              </w:rPr>
              <w:t>3、</w:t>
            </w:r>
            <w:r>
              <w:rPr>
                <w:rFonts w:hint="eastAsia" w:ascii="仿宋" w:hAnsi="仿宋" w:eastAsia="仿宋" w:cs="仿宋"/>
                <w:szCs w:val="21"/>
                <w:lang w:eastAsia="zh-CN"/>
              </w:rPr>
              <w:t>加强</w:t>
            </w:r>
            <w:r>
              <w:rPr>
                <w:rFonts w:hint="eastAsia" w:ascii="仿宋" w:hAnsi="仿宋" w:eastAsia="仿宋" w:cs="仿宋"/>
                <w:szCs w:val="21"/>
              </w:rPr>
              <w:t>科技</w:t>
            </w:r>
            <w:r>
              <w:rPr>
                <w:rFonts w:hint="eastAsia" w:ascii="仿宋" w:hAnsi="仿宋" w:eastAsia="仿宋" w:cs="仿宋"/>
                <w:szCs w:val="21"/>
                <w:lang w:eastAsia="zh-CN"/>
              </w:rPr>
              <w:t>与</w:t>
            </w:r>
            <w:r>
              <w:rPr>
                <w:rFonts w:hint="eastAsia" w:ascii="仿宋" w:hAnsi="仿宋" w:eastAsia="仿宋" w:cs="仿宋"/>
                <w:szCs w:val="21"/>
              </w:rPr>
              <w:t>金融</w:t>
            </w:r>
            <w:r>
              <w:rPr>
                <w:rFonts w:hint="eastAsia" w:ascii="仿宋" w:hAnsi="仿宋" w:eastAsia="仿宋" w:cs="仿宋"/>
                <w:szCs w:val="21"/>
                <w:lang w:eastAsia="zh-CN"/>
              </w:rPr>
              <w:t>对接。</w:t>
            </w:r>
          </w:p>
          <w:p>
            <w:pPr>
              <w:widowControl/>
              <w:spacing w:line="240" w:lineRule="exact"/>
              <w:jc w:val="both"/>
              <w:rPr>
                <w:rFonts w:hint="eastAsia" w:ascii="仿宋" w:hAnsi="仿宋" w:eastAsia="仿宋" w:cs="仿宋"/>
                <w:szCs w:val="21"/>
                <w:lang w:eastAsia="zh-CN"/>
              </w:rPr>
            </w:pPr>
            <w:r>
              <w:rPr>
                <w:rFonts w:hint="eastAsia" w:ascii="楷体" w:hAnsi="楷体" w:eastAsia="楷体" w:cs="楷体"/>
                <w:b/>
                <w:bCs/>
                <w:szCs w:val="21"/>
                <w:lang w:eastAsia="zh-CN"/>
              </w:rPr>
              <w:t>（五）积极开展科普工作，提升全民科学素养</w:t>
            </w:r>
          </w:p>
          <w:p>
            <w:pPr>
              <w:widowControl/>
              <w:numPr>
                <w:ilvl w:val="0"/>
                <w:numId w:val="0"/>
              </w:numPr>
              <w:spacing w:line="240" w:lineRule="exact"/>
              <w:jc w:val="both"/>
              <w:rPr>
                <w:rFonts w:hint="eastAsia" w:ascii="仿宋" w:hAnsi="仿宋" w:eastAsia="仿宋" w:cs="仿宋"/>
                <w:szCs w:val="21"/>
                <w:lang w:val="en-US" w:eastAsia="zh-CN"/>
              </w:rPr>
            </w:pPr>
            <w:r>
              <w:rPr>
                <w:rFonts w:hint="eastAsia" w:ascii="仿宋" w:hAnsi="仿宋" w:eastAsia="仿宋" w:cs="仿宋"/>
                <w:szCs w:val="21"/>
                <w:lang w:val="en-US" w:eastAsia="zh-CN"/>
              </w:rPr>
              <w:t>1、积极开展科普宣传活动</w:t>
            </w:r>
          </w:p>
          <w:p>
            <w:pPr>
              <w:widowControl/>
              <w:numPr>
                <w:ilvl w:val="0"/>
                <w:numId w:val="0"/>
              </w:numPr>
              <w:spacing w:line="240" w:lineRule="exact"/>
              <w:jc w:val="both"/>
              <w:rPr>
                <w:rFonts w:hint="eastAsia" w:ascii="仿宋" w:hAnsi="仿宋" w:eastAsia="仿宋" w:cs="仿宋"/>
                <w:szCs w:val="21"/>
                <w:lang w:eastAsia="zh-CN"/>
              </w:rPr>
            </w:pPr>
            <w:r>
              <w:rPr>
                <w:rFonts w:hint="eastAsia" w:ascii="仿宋" w:hAnsi="仿宋" w:eastAsia="仿宋" w:cs="仿宋"/>
                <w:szCs w:val="21"/>
                <w:lang w:val="en-US" w:eastAsia="zh-CN"/>
              </w:rPr>
              <w:t>2、</w:t>
            </w:r>
            <w:r>
              <w:rPr>
                <w:rFonts w:hint="eastAsia" w:ascii="仿宋" w:hAnsi="仿宋" w:eastAsia="仿宋" w:cs="仿宋"/>
                <w:szCs w:val="21"/>
                <w:lang w:eastAsia="zh-CN"/>
              </w:rPr>
              <w:t>组建科普志愿服务队伍，开展志愿服务</w:t>
            </w:r>
          </w:p>
          <w:p>
            <w:pPr>
              <w:widowControl/>
              <w:numPr>
                <w:ilvl w:val="0"/>
                <w:numId w:val="0"/>
              </w:numPr>
              <w:spacing w:line="240" w:lineRule="exact"/>
              <w:jc w:val="both"/>
              <w:rPr>
                <w:rFonts w:hint="eastAsia" w:ascii="宋体" w:hAnsi="宋体" w:cs="Times New Roman"/>
                <w:szCs w:val="21"/>
                <w:lang w:eastAsia="zh-CN"/>
              </w:rPr>
            </w:pPr>
          </w:p>
        </w:tc>
        <w:tc>
          <w:tcPr>
            <w:tcW w:w="338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cs="Times New Roman"/>
                <w:szCs w:val="21"/>
                <w:lang w:eastAsia="zh-CN"/>
              </w:rPr>
            </w:pPr>
            <w:r>
              <w:rPr>
                <w:rFonts w:hint="eastAsia" w:ascii="宋体" w:hAnsi="宋体" w:cs="Times New Roman"/>
                <w:szCs w:val="21"/>
                <w:lang w:eastAsia="zh-CN"/>
              </w:rPr>
              <w:t>（一）</w:t>
            </w:r>
            <w:r>
              <w:rPr>
                <w:rFonts w:hint="eastAsia" w:ascii="楷体" w:hAnsi="楷体" w:eastAsia="楷体" w:cs="楷体"/>
                <w:b/>
                <w:bCs/>
                <w:szCs w:val="21"/>
              </w:rPr>
              <w:t>培育高新技术产业，夯实科创基础。</w:t>
            </w:r>
          </w:p>
          <w:p>
            <w:pPr>
              <w:widowControl/>
              <w:spacing w:line="240" w:lineRule="exact"/>
              <w:jc w:val="both"/>
              <w:rPr>
                <w:rFonts w:hint="eastAsia" w:ascii="仿宋" w:hAnsi="仿宋" w:eastAsia="仿宋" w:cs="仿宋"/>
                <w:szCs w:val="21"/>
                <w:lang w:val="en-US" w:eastAsia="zh-CN"/>
              </w:rPr>
            </w:pPr>
            <w:r>
              <w:rPr>
                <w:rFonts w:hint="eastAsia" w:ascii="仿宋" w:hAnsi="仿宋" w:eastAsia="仿宋" w:cs="仿宋"/>
                <w:szCs w:val="21"/>
                <w:lang w:val="en-US" w:eastAsia="zh-CN"/>
              </w:rPr>
              <w:t>1、建立《2019年高企、小巨人企业后备库》，企业数总数近100家，新认定高企59家；</w:t>
            </w:r>
          </w:p>
          <w:p>
            <w:pPr>
              <w:widowControl/>
              <w:spacing w:line="240" w:lineRule="exact"/>
              <w:jc w:val="both"/>
              <w:rPr>
                <w:rFonts w:hint="eastAsia" w:ascii="仿宋" w:hAnsi="仿宋" w:eastAsia="仿宋" w:cs="仿宋"/>
                <w:szCs w:val="21"/>
                <w:lang w:val="en-US" w:eastAsia="zh-CN"/>
              </w:rPr>
            </w:pPr>
            <w:r>
              <w:rPr>
                <w:rFonts w:hint="eastAsia" w:ascii="仿宋" w:hAnsi="仿宋" w:eastAsia="仿宋" w:cs="仿宋"/>
                <w:szCs w:val="21"/>
                <w:lang w:val="en-US" w:eastAsia="zh-CN"/>
              </w:rPr>
              <w:t>2、举办了三场“科创政策进园区、进企业、进楼宇宣传宣讲活动”，组织了150多家企业参加高企申报和研发费用加计扣除等实务培训。</w:t>
            </w:r>
          </w:p>
          <w:p>
            <w:pPr>
              <w:widowControl/>
              <w:spacing w:line="240" w:lineRule="exact"/>
              <w:jc w:val="both"/>
              <w:rPr>
                <w:rFonts w:hint="eastAsia" w:ascii="仿宋" w:hAnsi="仿宋" w:eastAsia="仿宋" w:cs="仿宋"/>
                <w:szCs w:val="21"/>
                <w:lang w:val="en-US" w:eastAsia="zh-CN"/>
              </w:rPr>
            </w:pPr>
            <w:r>
              <w:rPr>
                <w:rFonts w:hint="eastAsia" w:ascii="仿宋" w:hAnsi="仿宋" w:eastAsia="仿宋" w:cs="仿宋"/>
                <w:szCs w:val="21"/>
                <w:lang w:val="en-US" w:eastAsia="zh-CN"/>
              </w:rPr>
              <w:t>3、已备案的技术贸易合同额</w:t>
            </w:r>
            <w:r>
              <w:rPr>
                <w:rFonts w:hint="eastAsia" w:ascii="仿宋" w:hAnsi="仿宋" w:eastAsia="仿宋" w:cs="仿宋"/>
                <w:szCs w:val="21"/>
                <w:u w:val="single"/>
                <w:lang w:val="en-US" w:eastAsia="zh-CN"/>
              </w:rPr>
              <w:t>17.1</w:t>
            </w:r>
            <w:r>
              <w:rPr>
                <w:rFonts w:hint="eastAsia" w:ascii="仿宋" w:hAnsi="仿宋" w:eastAsia="仿宋" w:cs="仿宋"/>
                <w:szCs w:val="21"/>
                <w:lang w:val="en-US" w:eastAsia="zh-CN"/>
              </w:rPr>
              <w:t>亿元</w:t>
            </w:r>
          </w:p>
          <w:p>
            <w:pPr>
              <w:widowControl/>
              <w:spacing w:line="240" w:lineRule="exact"/>
              <w:jc w:val="both"/>
              <w:rPr>
                <w:rFonts w:hint="eastAsia" w:ascii="仿宋" w:hAnsi="仿宋" w:eastAsia="仿宋" w:cs="仿宋"/>
                <w:szCs w:val="21"/>
                <w:lang w:val="en-US" w:eastAsia="zh-CN"/>
              </w:rPr>
            </w:pPr>
            <w:r>
              <w:rPr>
                <w:rFonts w:hint="eastAsia" w:ascii="仿宋" w:hAnsi="仿宋" w:eastAsia="仿宋" w:cs="仿宋"/>
                <w:szCs w:val="21"/>
                <w:lang w:val="en-US" w:eastAsia="zh-CN"/>
              </w:rPr>
              <w:t>4、举办了四场“科创政策进园区、进企业、进楼宇宣传宣讲活动”，组织了270多家企业，培训研发费用加计扣除、研发经费奖补等政策的申报实务。指导42家企业申报省科技厅研发奖补，奖补资金达925万元；组织2018年获评的9家科技小巨人企业，34家高企申报市局研发补助，补助资金达540多万。</w:t>
            </w:r>
          </w:p>
          <w:p>
            <w:pPr>
              <w:widowControl/>
              <w:spacing w:line="240" w:lineRule="exact"/>
              <w:jc w:val="both"/>
              <w:rPr>
                <w:rFonts w:hint="eastAsia" w:ascii="楷体" w:hAnsi="楷体" w:eastAsia="楷体" w:cs="楷体"/>
                <w:b/>
                <w:bCs/>
                <w:szCs w:val="21"/>
              </w:rPr>
            </w:pPr>
            <w:r>
              <w:rPr>
                <w:rFonts w:hint="eastAsia" w:ascii="楷体" w:hAnsi="楷体" w:eastAsia="楷体" w:cs="楷体"/>
                <w:b/>
                <w:bCs/>
                <w:szCs w:val="21"/>
              </w:rPr>
              <w:t>（二）推进产业招商，科创经济态势强劲</w:t>
            </w:r>
          </w:p>
          <w:p>
            <w:pPr>
              <w:widowControl/>
              <w:spacing w:line="240" w:lineRule="exact"/>
              <w:jc w:val="both"/>
              <w:rPr>
                <w:rFonts w:hint="eastAsia" w:ascii="仿宋" w:hAnsi="仿宋" w:eastAsia="仿宋" w:cs="仿宋"/>
                <w:szCs w:val="21"/>
                <w:lang w:val="en-US" w:eastAsia="zh-CN"/>
              </w:rPr>
            </w:pPr>
            <w:r>
              <w:rPr>
                <w:rFonts w:hint="eastAsia" w:ascii="仿宋" w:hAnsi="仿宋" w:eastAsia="仿宋" w:cs="仿宋"/>
                <w:szCs w:val="21"/>
                <w:lang w:val="en-US" w:eastAsia="zh-CN"/>
              </w:rPr>
              <w:t>1、成立岳麓山国家大学科技城招商工作组，制定“两图两库”，建立了16个标志性平台和20家标志性企业名录库；</w:t>
            </w:r>
          </w:p>
          <w:p>
            <w:pPr>
              <w:widowControl/>
              <w:spacing w:line="240" w:lineRule="exact"/>
              <w:jc w:val="both"/>
              <w:rPr>
                <w:rFonts w:hint="default" w:ascii="仿宋" w:hAnsi="仿宋" w:eastAsia="仿宋" w:cs="仿宋"/>
                <w:szCs w:val="21"/>
                <w:lang w:val="en-US" w:eastAsia="zh-CN"/>
              </w:rPr>
            </w:pPr>
            <w:r>
              <w:rPr>
                <w:rFonts w:hint="eastAsia" w:ascii="仿宋" w:hAnsi="仿宋" w:eastAsia="仿宋" w:cs="仿宋"/>
                <w:szCs w:val="21"/>
                <w:lang w:val="en-US" w:eastAsia="zh-CN"/>
              </w:rPr>
              <w:t>2、中南大学科技园累计注册科创企业176家、入驻企业43家、专业服务机构21家、税收突破3500万元；后湖依托湖南大学的设计类优势学科，导入设计类企业81家；西湖58小镇导入企业132家，</w:t>
            </w:r>
          </w:p>
          <w:p>
            <w:pPr>
              <w:widowControl/>
              <w:spacing w:line="240" w:lineRule="exact"/>
              <w:jc w:val="both"/>
              <w:rPr>
                <w:rFonts w:hint="eastAsia" w:ascii="楷体" w:hAnsi="楷体" w:eastAsia="楷体" w:cs="楷体"/>
                <w:b/>
                <w:bCs/>
                <w:szCs w:val="21"/>
              </w:rPr>
            </w:pPr>
            <w:r>
              <w:rPr>
                <w:rFonts w:hint="eastAsia" w:ascii="楷体" w:hAnsi="楷体" w:eastAsia="楷体" w:cs="楷体"/>
                <w:b/>
                <w:bCs/>
                <w:szCs w:val="21"/>
              </w:rPr>
              <w:t>（三）推动区校合作，成果转化逐步畅通</w:t>
            </w:r>
          </w:p>
          <w:p>
            <w:pPr>
              <w:widowControl/>
              <w:spacing w:line="240" w:lineRule="exact"/>
              <w:ind w:firstLine="420" w:firstLineChars="200"/>
              <w:jc w:val="both"/>
              <w:rPr>
                <w:rFonts w:hint="eastAsia" w:ascii="楷体" w:hAnsi="楷体" w:eastAsia="楷体" w:cs="楷体"/>
                <w:b w:val="0"/>
                <w:bCs w:val="0"/>
                <w:szCs w:val="21"/>
                <w:lang w:eastAsia="zh-CN"/>
              </w:rPr>
            </w:pPr>
            <w:r>
              <w:rPr>
                <w:rFonts w:hint="eastAsia" w:ascii="楷体" w:hAnsi="楷体" w:eastAsia="楷体" w:cs="楷体"/>
                <w:b w:val="0"/>
                <w:bCs w:val="0"/>
                <w:szCs w:val="21"/>
              </w:rPr>
              <w:t>中南大学开展“创新岳麓、智汇中南”主题系列活动，今年累计开展21场；湖南大学累计开展2场成果转化对接峰会活动，区校共推成果转化，政产学研深度融合；持续推进“一圈、一廊、一街、一镇、一区”建设和发展。建立了16个标志性平台和20家标志性企业名录库。大科城6个重大产业项目签署合作协议</w:t>
            </w:r>
            <w:r>
              <w:rPr>
                <w:rFonts w:hint="eastAsia" w:ascii="楷体" w:hAnsi="楷体" w:eastAsia="楷体" w:cs="楷体"/>
                <w:b w:val="0"/>
                <w:bCs w:val="0"/>
                <w:szCs w:val="21"/>
                <w:lang w:eastAsia="zh-CN"/>
              </w:rPr>
              <w:t>；截至目前，中南大学科技园累计注册科创企业176家、入驻企业43家、专业服务机构21家、税收突破3500万元；后湖依托湖南大学的设计类优势学科，导入设计类企业81家；西湖58小镇导入企业132家</w:t>
            </w:r>
          </w:p>
          <w:p>
            <w:pPr>
              <w:widowControl/>
              <w:spacing w:line="240" w:lineRule="exact"/>
              <w:jc w:val="both"/>
              <w:rPr>
                <w:rFonts w:hint="default" w:ascii="楷体" w:hAnsi="楷体" w:eastAsia="楷体" w:cs="楷体"/>
                <w:b w:val="0"/>
                <w:bCs w:val="0"/>
                <w:szCs w:val="21"/>
                <w:lang w:val="en-US" w:eastAsia="zh-CN"/>
              </w:rPr>
            </w:pPr>
          </w:p>
        </w:tc>
      </w:tr>
      <w:tr>
        <w:tblPrEx>
          <w:tblCellMar>
            <w:top w:w="0" w:type="dxa"/>
            <w:left w:w="108" w:type="dxa"/>
            <w:bottom w:w="0" w:type="dxa"/>
            <w:right w:w="108" w:type="dxa"/>
          </w:tblCellMar>
        </w:tblPrEx>
        <w:trPr>
          <w:gridAfter w:val="1"/>
          <w:wAfter w:w="123" w:type="dxa"/>
          <w:trHeight w:val="5810" w:hRule="exact"/>
          <w:jc w:val="center"/>
        </w:trPr>
        <w:tc>
          <w:tcPr>
            <w:tcW w:w="1276" w:type="dxa"/>
            <w:tcBorders>
              <w:top w:val="single" w:color="auto" w:sz="4" w:space="0"/>
              <w:left w:val="single" w:color="auto" w:sz="4" w:space="0"/>
              <w:bottom w:val="single" w:color="auto" w:sz="4" w:space="0"/>
              <w:right w:val="single" w:color="auto" w:sz="4" w:space="0"/>
            </w:tcBorders>
            <w:noWrap w:val="0"/>
            <w:vAlign w:val="center"/>
          </w:tcPr>
          <w:p>
            <w:pPr>
              <w:autoSpaceDN w:val="0"/>
              <w:spacing w:line="400" w:lineRule="exact"/>
              <w:jc w:val="center"/>
              <w:textAlignment w:val="center"/>
              <w:rPr>
                <w:rFonts w:ascii="宋体" w:hAnsi="宋体" w:eastAsia="宋体" w:cs="Times New Roman"/>
                <w:szCs w:val="21"/>
              </w:rPr>
            </w:pPr>
          </w:p>
        </w:tc>
        <w:tc>
          <w:tcPr>
            <w:tcW w:w="4665" w:type="dxa"/>
            <w:gridSpan w:val="6"/>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3383" w:type="dxa"/>
            <w:gridSpan w:val="7"/>
            <w:tcBorders>
              <w:top w:val="single" w:color="auto" w:sz="4" w:space="0"/>
              <w:left w:val="nil"/>
              <w:right w:val="single" w:color="auto" w:sz="4" w:space="0"/>
            </w:tcBorders>
            <w:noWrap w:val="0"/>
            <w:vAlign w:val="center"/>
          </w:tcPr>
          <w:p>
            <w:pPr>
              <w:widowControl/>
              <w:spacing w:line="240" w:lineRule="exact"/>
              <w:jc w:val="both"/>
              <w:rPr>
                <w:rFonts w:hint="eastAsia" w:ascii="楷体" w:hAnsi="楷体" w:eastAsia="楷体" w:cs="楷体"/>
                <w:b w:val="0"/>
                <w:bCs w:val="0"/>
                <w:szCs w:val="21"/>
              </w:rPr>
            </w:pPr>
            <w:r>
              <w:rPr>
                <w:rFonts w:hint="eastAsia" w:ascii="楷体" w:hAnsi="楷体" w:eastAsia="楷体" w:cs="楷体"/>
                <w:b/>
                <w:bCs/>
                <w:szCs w:val="21"/>
              </w:rPr>
              <w:t>（四）优化服务，创新氛围不断浓厚。</w:t>
            </w:r>
          </w:p>
          <w:p>
            <w:pPr>
              <w:widowControl/>
              <w:spacing w:line="240" w:lineRule="exact"/>
              <w:jc w:val="both"/>
              <w:rPr>
                <w:rFonts w:hint="eastAsia" w:ascii="楷体" w:hAnsi="楷体" w:eastAsia="楷体" w:cs="楷体"/>
                <w:b w:val="0"/>
                <w:bCs w:val="0"/>
                <w:szCs w:val="21"/>
                <w:lang w:val="en-US" w:eastAsia="zh-CN"/>
              </w:rPr>
            </w:pPr>
            <w:r>
              <w:rPr>
                <w:rFonts w:hint="eastAsia" w:ascii="楷体" w:hAnsi="楷体" w:eastAsia="楷体" w:cs="楷体"/>
                <w:b w:val="0"/>
                <w:bCs w:val="0"/>
                <w:szCs w:val="21"/>
                <w:lang w:val="en-US" w:eastAsia="zh-CN"/>
              </w:rPr>
              <w:t>1、成功举办中国智能汽车路演活动、“创富岳麓，潮涌湘江”路演活动、专业服务机构对接会、创客沙龙、政策宣讲、纪念五四100周年等，累计开展活动80余场次。</w:t>
            </w:r>
          </w:p>
          <w:p>
            <w:pPr>
              <w:widowControl/>
              <w:spacing w:line="240" w:lineRule="exact"/>
              <w:jc w:val="both"/>
              <w:rPr>
                <w:rFonts w:hint="eastAsia" w:ascii="楷体" w:hAnsi="楷体" w:eastAsia="楷体" w:cs="楷体"/>
                <w:b w:val="0"/>
                <w:bCs w:val="0"/>
                <w:szCs w:val="21"/>
                <w:lang w:val="en-US" w:eastAsia="zh-CN"/>
              </w:rPr>
            </w:pPr>
            <w:r>
              <w:rPr>
                <w:rFonts w:hint="eastAsia" w:ascii="楷体" w:hAnsi="楷体" w:eastAsia="楷体" w:cs="楷体"/>
                <w:b w:val="0"/>
                <w:bCs w:val="0"/>
                <w:szCs w:val="21"/>
                <w:lang w:val="en-US" w:eastAsia="zh-CN"/>
              </w:rPr>
              <w:t>2、对新云网、天云软件为代表的软件企业开展知识产权确权服务；与中南大学、湖南大学、湖南师范大学共建专利池；举办知识产权法律普及活动3场；</w:t>
            </w:r>
          </w:p>
          <w:p>
            <w:pPr>
              <w:widowControl/>
              <w:numPr>
                <w:ilvl w:val="0"/>
                <w:numId w:val="0"/>
              </w:numPr>
              <w:spacing w:line="240" w:lineRule="exact"/>
              <w:jc w:val="both"/>
              <w:rPr>
                <w:rFonts w:hint="eastAsia" w:ascii="楷体" w:hAnsi="楷体" w:eastAsia="楷体" w:cs="楷体"/>
                <w:b/>
                <w:bCs/>
                <w:szCs w:val="21"/>
                <w:lang w:eastAsia="zh-CN"/>
              </w:rPr>
            </w:pPr>
            <w:r>
              <w:rPr>
                <w:rFonts w:hint="eastAsia" w:ascii="楷体" w:hAnsi="楷体" w:eastAsia="楷体" w:cs="楷体"/>
                <w:b w:val="0"/>
                <w:bCs w:val="0"/>
                <w:szCs w:val="21"/>
                <w:lang w:val="en-US" w:eastAsia="zh-CN"/>
              </w:rPr>
              <w:t>3、建立企业信息库、上市企业后备库，开展金企对接活动6场次。</w:t>
            </w:r>
          </w:p>
          <w:p>
            <w:pPr>
              <w:widowControl/>
              <w:numPr>
                <w:ilvl w:val="0"/>
                <w:numId w:val="1"/>
              </w:numPr>
              <w:spacing w:line="240" w:lineRule="exact"/>
              <w:jc w:val="both"/>
              <w:rPr>
                <w:rFonts w:hint="eastAsia" w:ascii="楷体" w:hAnsi="楷体" w:eastAsia="楷体" w:cs="楷体"/>
                <w:b/>
                <w:bCs/>
                <w:szCs w:val="21"/>
                <w:lang w:eastAsia="zh-CN"/>
              </w:rPr>
            </w:pPr>
            <w:r>
              <w:rPr>
                <w:rFonts w:hint="eastAsia" w:ascii="楷体" w:hAnsi="楷体" w:eastAsia="楷体" w:cs="楷体"/>
                <w:b/>
                <w:bCs/>
                <w:szCs w:val="21"/>
                <w:lang w:eastAsia="zh-CN"/>
              </w:rPr>
              <w:t>积极开展科普工作，提升全民科学素养</w:t>
            </w:r>
          </w:p>
          <w:p>
            <w:pPr>
              <w:widowControl/>
              <w:numPr>
                <w:ilvl w:val="0"/>
                <w:numId w:val="2"/>
              </w:numPr>
              <w:spacing w:line="240" w:lineRule="exact"/>
              <w:jc w:val="both"/>
              <w:rPr>
                <w:rFonts w:hint="eastAsia" w:ascii="楷体" w:hAnsi="楷体" w:eastAsia="楷体" w:cs="楷体"/>
                <w:b w:val="0"/>
                <w:bCs w:val="0"/>
                <w:szCs w:val="21"/>
                <w:lang w:val="en-US" w:eastAsia="zh-CN"/>
              </w:rPr>
            </w:pPr>
            <w:r>
              <w:rPr>
                <w:rFonts w:hint="eastAsia" w:ascii="楷体" w:hAnsi="楷体" w:eastAsia="楷体" w:cs="楷体"/>
                <w:b w:val="0"/>
                <w:bCs w:val="0"/>
                <w:szCs w:val="21"/>
                <w:lang w:val="en-US" w:eastAsia="zh-CN"/>
              </w:rPr>
              <w:t>开展了“全国科技活动周”，“全国科技工作者日”、“全国科普日”宣传活动</w:t>
            </w:r>
          </w:p>
          <w:p>
            <w:pPr>
              <w:widowControl/>
              <w:numPr>
                <w:ilvl w:val="0"/>
                <w:numId w:val="2"/>
              </w:numPr>
              <w:spacing w:line="240" w:lineRule="exact"/>
              <w:jc w:val="both"/>
              <w:rPr>
                <w:rFonts w:ascii="宋体" w:hAnsi="宋体" w:eastAsia="宋体" w:cs="Times New Roman"/>
                <w:szCs w:val="21"/>
              </w:rPr>
            </w:pPr>
            <w:r>
              <w:rPr>
                <w:rFonts w:hint="default" w:ascii="楷体" w:hAnsi="楷体" w:eastAsia="楷体" w:cs="楷体"/>
                <w:b w:val="0"/>
                <w:bCs w:val="0"/>
                <w:szCs w:val="21"/>
                <w:lang w:val="en-US" w:eastAsia="zh-CN"/>
              </w:rPr>
              <w:t>在湖南大学、湖南师范大学、中南大学等211、985重点院校选拔了80余名优秀大学生注册科技志愿者，</w:t>
            </w:r>
            <w:r>
              <w:rPr>
                <w:rFonts w:hint="eastAsia" w:ascii="楷体" w:hAnsi="楷体" w:eastAsia="楷体" w:cs="楷体"/>
                <w:b w:val="0"/>
                <w:bCs w:val="0"/>
                <w:szCs w:val="21"/>
                <w:lang w:val="en-US" w:eastAsia="zh-CN"/>
              </w:rPr>
              <w:t>开展了形式多样的志愿者活动；</w:t>
            </w:r>
          </w:p>
        </w:tc>
      </w:tr>
      <w:tr>
        <w:tblPrEx>
          <w:tblCellMar>
            <w:top w:w="0" w:type="dxa"/>
            <w:left w:w="108" w:type="dxa"/>
            <w:bottom w:w="0" w:type="dxa"/>
            <w:right w:w="108" w:type="dxa"/>
          </w:tblCellMar>
        </w:tblPrEx>
        <w:trPr>
          <w:trHeight w:val="983" w:hRule="exact"/>
          <w:jc w:val="center"/>
        </w:trPr>
        <w:tc>
          <w:tcPr>
            <w:tcW w:w="1276" w:type="dxa"/>
            <w:vMerge w:val="restart"/>
            <w:tcBorders>
              <w:top w:val="single" w:color="auto" w:sz="4" w:space="0"/>
              <w:left w:val="single" w:color="auto" w:sz="4" w:space="0"/>
              <w:right w:val="single" w:color="auto" w:sz="4" w:space="0"/>
            </w:tcBorders>
            <w:noWrap w:val="0"/>
            <w:vAlign w:val="center"/>
          </w:tcPr>
          <w:p>
            <w:pPr>
              <w:autoSpaceDN w:val="0"/>
              <w:spacing w:line="400" w:lineRule="exact"/>
              <w:jc w:val="center"/>
              <w:textAlignment w:val="center"/>
              <w:rPr>
                <w:rFonts w:hint="eastAsia" w:ascii="宋体" w:hAnsi="宋体" w:eastAsia="仿宋_GB2312" w:cs="仿宋_GB2312"/>
                <w:color w:val="000000"/>
                <w:sz w:val="24"/>
              </w:rPr>
            </w:pPr>
            <w:r>
              <w:rPr>
                <w:rFonts w:hint="eastAsia" w:ascii="宋体" w:hAnsi="宋体" w:eastAsia="仿宋_GB2312" w:cs="仿宋_GB2312"/>
                <w:color w:val="000000"/>
                <w:sz w:val="24"/>
              </w:rPr>
              <w:t>整体支出</w:t>
            </w:r>
          </w:p>
          <w:p>
            <w:pPr>
              <w:autoSpaceDN w:val="0"/>
              <w:spacing w:line="400" w:lineRule="exact"/>
              <w:jc w:val="center"/>
              <w:textAlignment w:val="center"/>
              <w:rPr>
                <w:rFonts w:hint="eastAsia" w:ascii="宋体" w:hAnsi="宋体" w:eastAsia="仿宋_GB2312" w:cs="仿宋_GB2312"/>
                <w:color w:val="000000"/>
                <w:sz w:val="24"/>
              </w:rPr>
            </w:pPr>
            <w:r>
              <w:rPr>
                <w:rFonts w:hint="eastAsia" w:ascii="宋体" w:hAnsi="宋体" w:eastAsia="仿宋_GB2312" w:cs="仿宋_GB2312"/>
                <w:color w:val="000000"/>
                <w:sz w:val="24"/>
              </w:rPr>
              <w:t>绩效目标及实施计划完成情况</w:t>
            </w:r>
          </w:p>
        </w:tc>
        <w:tc>
          <w:tcPr>
            <w:tcW w:w="4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一级指标</w:t>
            </w:r>
          </w:p>
        </w:tc>
        <w:tc>
          <w:tcPr>
            <w:tcW w:w="87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二级</w:t>
            </w:r>
            <w:r>
              <w:rPr>
                <w:rFonts w:hint="eastAsia" w:ascii="宋体" w:hAnsi="宋体" w:cs="Times New Roman"/>
                <w:szCs w:val="21"/>
                <w:lang w:val="en-US" w:eastAsia="zh-CN"/>
              </w:rPr>
              <w:t xml:space="preserve"> </w:t>
            </w:r>
            <w:r>
              <w:rPr>
                <w:rFonts w:hint="eastAsia" w:ascii="宋体" w:hAnsi="宋体" w:eastAsia="宋体" w:cs="Times New Roman"/>
                <w:szCs w:val="21"/>
              </w:rPr>
              <w:t>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三级指标</w:t>
            </w:r>
          </w:p>
        </w:tc>
        <w:tc>
          <w:tcPr>
            <w:tcW w:w="88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年度</w:t>
            </w:r>
          </w:p>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指标值</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实际</w:t>
            </w:r>
          </w:p>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完成值</w:t>
            </w: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分值</w:t>
            </w:r>
          </w:p>
        </w:tc>
        <w:tc>
          <w:tcPr>
            <w:tcW w:w="4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得分</w:t>
            </w: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szCs w:val="21"/>
              </w:rPr>
              <w:t>偏差原因分析及改进措施</w:t>
            </w:r>
          </w:p>
        </w:tc>
      </w:tr>
      <w:tr>
        <w:tblPrEx>
          <w:tblCellMar>
            <w:top w:w="0" w:type="dxa"/>
            <w:left w:w="108" w:type="dxa"/>
            <w:bottom w:w="0" w:type="dxa"/>
            <w:right w:w="108" w:type="dxa"/>
          </w:tblCellMar>
        </w:tblPrEx>
        <w:trPr>
          <w:trHeight w:val="50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产出指标</w:t>
            </w:r>
          </w:p>
        </w:tc>
        <w:tc>
          <w:tcPr>
            <w:tcW w:w="8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数量</w:t>
            </w:r>
            <w:r>
              <w:rPr>
                <w:rFonts w:hint="eastAsia" w:ascii="宋体" w:hAnsi="宋体" w:cs="Times New Roman"/>
                <w:szCs w:val="21"/>
                <w:lang w:val="en-US" w:eastAsia="zh-CN"/>
              </w:rPr>
              <w:t xml:space="preserve"> </w:t>
            </w:r>
            <w:r>
              <w:rPr>
                <w:rFonts w:hint="eastAsia" w:ascii="宋体" w:hAnsi="宋体" w:eastAsia="宋体" w:cs="Times New Roman"/>
                <w:szCs w:val="21"/>
              </w:rPr>
              <w:t>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楷体" w:hAnsi="楷体" w:eastAsia="楷体" w:cs="楷体"/>
                <w:szCs w:val="21"/>
                <w:lang w:eastAsia="zh-CN"/>
              </w:rPr>
            </w:pPr>
            <w:r>
              <w:rPr>
                <w:rFonts w:hint="eastAsia" w:ascii="楷体" w:hAnsi="楷体" w:eastAsia="楷体" w:cs="楷体"/>
                <w:szCs w:val="21"/>
              </w:rPr>
              <w:t>1：</w:t>
            </w:r>
            <w:r>
              <w:rPr>
                <w:rFonts w:hint="eastAsia" w:ascii="楷体" w:hAnsi="楷体" w:eastAsia="楷体" w:cs="楷体"/>
                <w:szCs w:val="21"/>
                <w:lang w:eastAsia="zh-CN"/>
              </w:rPr>
              <w:t>新增高企业认定</w:t>
            </w:r>
            <w:r>
              <w:rPr>
                <w:rFonts w:hint="eastAsia" w:ascii="宋体" w:hAnsi="宋体" w:cs="Times New Roman"/>
                <w:szCs w:val="21"/>
                <w:lang w:val="en-US" w:eastAsia="zh-CN"/>
              </w:rPr>
              <w:t>（个）</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45</w:t>
            </w: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59</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3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楷体" w:hAnsi="楷体" w:eastAsia="楷体" w:cs="楷体"/>
                <w:szCs w:val="21"/>
                <w:lang w:eastAsia="zh-CN"/>
              </w:rPr>
            </w:pPr>
            <w:r>
              <w:rPr>
                <w:rFonts w:hint="eastAsia" w:ascii="楷体" w:hAnsi="楷体" w:eastAsia="楷体" w:cs="楷体"/>
                <w:szCs w:val="21"/>
              </w:rPr>
              <w:t>2：</w:t>
            </w:r>
            <w:r>
              <w:rPr>
                <w:rFonts w:hint="eastAsia" w:ascii="楷体" w:hAnsi="楷体" w:eastAsia="楷体" w:cs="楷体"/>
                <w:szCs w:val="21"/>
                <w:lang w:eastAsia="zh-CN"/>
              </w:rPr>
              <w:t>为企业主办政策务实培训</w:t>
            </w:r>
            <w:r>
              <w:rPr>
                <w:rFonts w:hint="eastAsia" w:ascii="宋体" w:hAnsi="宋体" w:cs="Times New Roman"/>
                <w:szCs w:val="21"/>
                <w:lang w:val="en-US" w:eastAsia="zh-CN"/>
              </w:rPr>
              <w:t>（次）</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48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3：开展科普宣传活动</w:t>
            </w:r>
            <w:r>
              <w:rPr>
                <w:rFonts w:hint="eastAsia" w:ascii="宋体" w:hAnsi="宋体" w:cs="Times New Roman"/>
                <w:szCs w:val="21"/>
                <w:lang w:val="en-US" w:eastAsia="zh-CN"/>
              </w:rPr>
              <w:t>（次）</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3</w:t>
            </w: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8</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7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4：大科城各类路演，沙龙、对接会</w:t>
            </w:r>
            <w:r>
              <w:rPr>
                <w:rFonts w:hint="eastAsia" w:ascii="宋体" w:hAnsi="宋体" w:cs="Times New Roman"/>
                <w:szCs w:val="21"/>
                <w:lang w:val="en-US" w:eastAsia="zh-CN"/>
              </w:rPr>
              <w:t>（次）</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Times New Roman"/>
                <w:szCs w:val="21"/>
                <w:lang w:val="en-US" w:eastAsia="zh-CN"/>
              </w:rPr>
            </w:pPr>
            <w:r>
              <w:rPr>
                <w:rFonts w:hint="eastAsia" w:ascii="宋体" w:hAnsi="宋体" w:cs="Times New Roman"/>
                <w:szCs w:val="21"/>
                <w:lang w:val="en-US" w:eastAsia="zh-CN"/>
              </w:rPr>
              <w:t>50</w:t>
            </w: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Times New Roman"/>
                <w:szCs w:val="21"/>
                <w:lang w:val="en-US" w:eastAsia="zh-CN"/>
              </w:rPr>
            </w:pPr>
            <w:r>
              <w:rPr>
                <w:rFonts w:hint="eastAsia" w:ascii="宋体" w:hAnsi="宋体" w:cs="Times New Roman"/>
                <w:szCs w:val="21"/>
                <w:lang w:val="en-US" w:eastAsia="zh-CN"/>
              </w:rPr>
              <w:t>80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45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5：金融与企业对接活动</w:t>
            </w:r>
            <w:r>
              <w:rPr>
                <w:rFonts w:hint="eastAsia" w:ascii="宋体" w:hAnsi="宋体" w:cs="Times New Roman"/>
                <w:szCs w:val="21"/>
                <w:lang w:val="en-US" w:eastAsia="zh-CN"/>
              </w:rPr>
              <w:t>（次）</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Times New Roman"/>
                <w:szCs w:val="21"/>
                <w:lang w:val="en-US" w:eastAsia="zh-CN"/>
              </w:rPr>
            </w:pPr>
            <w:r>
              <w:rPr>
                <w:rFonts w:hint="eastAsia" w:ascii="宋体" w:hAnsi="宋体" w:cs="Times New Roman"/>
                <w:szCs w:val="21"/>
                <w:lang w:val="en-US" w:eastAsia="zh-CN"/>
              </w:rPr>
              <w:t>5</w:t>
            </w: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Times New Roman"/>
                <w:szCs w:val="21"/>
                <w:lang w:val="en-US" w:eastAsia="zh-CN"/>
              </w:rPr>
            </w:pPr>
            <w:r>
              <w:rPr>
                <w:rFonts w:hint="eastAsia" w:ascii="宋体" w:hAnsi="宋体" w:cs="Times New Roman"/>
                <w:szCs w:val="21"/>
                <w:lang w:val="en-US" w:eastAsia="zh-CN"/>
              </w:rPr>
              <w:t>6</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43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6：技贸合同备案数（</w:t>
            </w:r>
            <w:r>
              <w:rPr>
                <w:rFonts w:hint="eastAsia" w:ascii="宋体" w:hAnsi="宋体" w:cs="Times New Roman"/>
                <w:szCs w:val="21"/>
                <w:lang w:val="en-US" w:eastAsia="zh-CN"/>
              </w:rPr>
              <w:t>个</w:t>
            </w:r>
            <w:r>
              <w:rPr>
                <w:rFonts w:hint="eastAsia" w:ascii="楷体" w:hAnsi="楷体" w:eastAsia="楷体" w:cs="楷体"/>
                <w:szCs w:val="21"/>
                <w:lang w:val="en-US" w:eastAsia="zh-CN"/>
              </w:rPr>
              <w:t>）</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Times New Roman"/>
                <w:szCs w:val="21"/>
                <w:lang w:val="en-US" w:eastAsia="zh-CN"/>
              </w:rPr>
            </w:pPr>
            <w:r>
              <w:rPr>
                <w:rFonts w:hint="eastAsia" w:ascii="宋体" w:hAnsi="宋体" w:cs="Times New Roman"/>
                <w:szCs w:val="21"/>
                <w:lang w:val="en-US" w:eastAsia="zh-CN"/>
              </w:rPr>
              <w:t>900</w:t>
            </w: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Times New Roman"/>
                <w:szCs w:val="21"/>
                <w:lang w:val="en-US" w:eastAsia="zh-CN"/>
              </w:rPr>
            </w:pPr>
            <w:r>
              <w:rPr>
                <w:rFonts w:hint="eastAsia" w:ascii="宋体" w:hAnsi="宋体" w:cs="Times New Roman"/>
                <w:szCs w:val="21"/>
                <w:lang w:val="en-US" w:eastAsia="zh-CN"/>
              </w:rPr>
              <w:t>1115</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45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7：R&amp;D经费投入（工业研发投入）</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Times New Roman"/>
                <w:szCs w:val="21"/>
                <w:lang w:val="en-US" w:eastAsia="zh-CN"/>
              </w:rPr>
            </w:pPr>
            <w:r>
              <w:rPr>
                <w:rFonts w:hint="eastAsia" w:ascii="宋体" w:hAnsi="宋体" w:cs="Times New Roman"/>
                <w:szCs w:val="21"/>
                <w:lang w:val="en-US" w:eastAsia="zh-CN"/>
              </w:rPr>
              <w:t>7400</w:t>
            </w: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Times New Roman"/>
                <w:szCs w:val="21"/>
                <w:lang w:val="en-US" w:eastAsia="zh-CN"/>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10</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3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质量指标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楷体" w:hAnsi="楷体" w:eastAsia="楷体" w:cs="楷体"/>
                <w:szCs w:val="21"/>
                <w:lang w:eastAsia="zh-CN"/>
              </w:rPr>
            </w:pPr>
            <w:r>
              <w:rPr>
                <w:rFonts w:hint="eastAsia" w:ascii="楷体" w:hAnsi="楷体" w:eastAsia="楷体" w:cs="楷体"/>
                <w:szCs w:val="21"/>
              </w:rPr>
              <w:t>1：</w:t>
            </w:r>
            <w:r>
              <w:rPr>
                <w:rFonts w:hint="eastAsia" w:ascii="楷体" w:hAnsi="楷体" w:eastAsia="楷体" w:cs="楷体"/>
                <w:szCs w:val="21"/>
                <w:lang w:eastAsia="zh-CN"/>
              </w:rPr>
              <w:t>组织企业申报省研发经费奖补</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楷体" w:hAnsi="楷体" w:eastAsia="楷体" w:cs="楷体"/>
                <w:szCs w:val="21"/>
                <w:lang w:val="en-US" w:eastAsia="zh-CN"/>
              </w:rPr>
              <w:t>42家企业，925万元</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10</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48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楷体" w:hAnsi="楷体" w:eastAsia="楷体" w:cs="楷体"/>
                <w:szCs w:val="21"/>
                <w:lang w:eastAsia="zh-CN"/>
              </w:rPr>
            </w:pPr>
            <w:r>
              <w:rPr>
                <w:rFonts w:hint="eastAsia" w:ascii="楷体" w:hAnsi="楷体" w:eastAsia="楷体" w:cs="楷体"/>
                <w:szCs w:val="21"/>
              </w:rPr>
              <w:t>2：</w:t>
            </w:r>
            <w:r>
              <w:rPr>
                <w:rFonts w:hint="eastAsia" w:ascii="楷体" w:hAnsi="楷体" w:eastAsia="楷体" w:cs="楷体"/>
                <w:szCs w:val="21"/>
                <w:lang w:eastAsia="zh-CN"/>
              </w:rPr>
              <w:t>组织企业申报上级项目经费</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Times New Roman"/>
                <w:szCs w:val="21"/>
                <w:lang w:val="en-US" w:eastAsia="zh-CN"/>
              </w:rPr>
            </w:pPr>
            <w:r>
              <w:rPr>
                <w:rFonts w:hint="eastAsia" w:ascii="宋体" w:hAnsi="宋体" w:cs="Times New Roman"/>
                <w:szCs w:val="21"/>
                <w:lang w:val="en-US" w:eastAsia="zh-CN"/>
              </w:rPr>
              <w:t>3796.27万元</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197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3：开展大科城创业招商</w:t>
            </w: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ascii="宋体" w:hAnsi="宋体" w:eastAsia="宋体" w:cs="Times New Roman"/>
                <w:szCs w:val="21"/>
              </w:rPr>
            </w:pPr>
            <w:r>
              <w:rPr>
                <w:rFonts w:hint="eastAsia" w:ascii="楷体" w:hAnsi="楷体" w:eastAsia="楷体" w:cs="楷体"/>
                <w:b w:val="0"/>
                <w:bCs w:val="0"/>
                <w:szCs w:val="21"/>
                <w:lang w:eastAsia="zh-CN"/>
              </w:rPr>
              <w:t>注册科创企业176家、入驻企业43家、专业服务机构21家、税收突破3500万元</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86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时效</w:t>
            </w:r>
            <w:r>
              <w:rPr>
                <w:rFonts w:hint="eastAsia" w:ascii="宋体" w:hAnsi="宋体" w:cs="Times New Roman"/>
                <w:szCs w:val="21"/>
                <w:lang w:val="en-US" w:eastAsia="zh-CN"/>
              </w:rPr>
              <w:t xml:space="preserve"> </w:t>
            </w:r>
            <w:r>
              <w:rPr>
                <w:rFonts w:hint="eastAsia" w:ascii="宋体" w:hAnsi="宋体" w:eastAsia="宋体" w:cs="Times New Roman"/>
                <w:szCs w:val="21"/>
              </w:rPr>
              <w:t>指标</w:t>
            </w:r>
          </w:p>
        </w:tc>
        <w:tc>
          <w:tcPr>
            <w:tcW w:w="2504" w:type="dxa"/>
            <w:gridSpan w:val="3"/>
            <w:tcBorders>
              <w:top w:val="single" w:color="auto" w:sz="4" w:space="0"/>
              <w:left w:val="nil"/>
              <w:right w:val="single" w:color="auto" w:sz="4" w:space="0"/>
            </w:tcBorders>
            <w:noWrap w:val="0"/>
            <w:vAlign w:val="center"/>
          </w:tcPr>
          <w:p>
            <w:pPr>
              <w:widowControl/>
              <w:spacing w:line="240" w:lineRule="exact"/>
              <w:jc w:val="left"/>
              <w:rPr>
                <w:rFonts w:hint="eastAsia" w:ascii="楷体" w:hAnsi="楷体" w:eastAsia="楷体" w:cs="楷体"/>
                <w:szCs w:val="21"/>
                <w:lang w:eastAsia="zh-CN"/>
              </w:rPr>
            </w:pPr>
            <w:r>
              <w:rPr>
                <w:rFonts w:hint="eastAsia" w:ascii="楷体" w:hAnsi="楷体" w:eastAsia="楷体" w:cs="楷体"/>
                <w:szCs w:val="21"/>
              </w:rPr>
              <w:t>1：</w:t>
            </w:r>
            <w:r>
              <w:rPr>
                <w:rFonts w:hint="eastAsia" w:ascii="楷体" w:hAnsi="楷体" w:eastAsia="楷体" w:cs="楷体"/>
                <w:szCs w:val="21"/>
                <w:lang w:eastAsia="zh-CN"/>
              </w:rPr>
              <w:t>按时完成各项目标工作</w:t>
            </w:r>
          </w:p>
        </w:tc>
        <w:tc>
          <w:tcPr>
            <w:tcW w:w="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Times New Roman"/>
                <w:szCs w:val="21"/>
                <w:lang w:eastAsia="zh-CN"/>
              </w:rPr>
            </w:pPr>
            <w:r>
              <w:rPr>
                <w:rFonts w:hint="eastAsia" w:ascii="宋体" w:hAnsi="宋体" w:cs="Times New Roman"/>
                <w:szCs w:val="21"/>
                <w:lang w:eastAsia="zh-CN"/>
              </w:rPr>
              <w:t>已完成</w:t>
            </w: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64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成本</w:t>
            </w:r>
            <w:r>
              <w:rPr>
                <w:rFonts w:hint="eastAsia" w:ascii="宋体" w:hAnsi="宋体" w:cs="Times New Roman"/>
                <w:szCs w:val="21"/>
                <w:lang w:val="en-US" w:eastAsia="zh-CN"/>
              </w:rPr>
              <w:t xml:space="preserve"> </w:t>
            </w:r>
            <w:r>
              <w:rPr>
                <w:rFonts w:hint="eastAsia" w:ascii="宋体" w:hAnsi="宋体" w:eastAsia="宋体" w:cs="Times New Roman"/>
                <w:szCs w:val="21"/>
              </w:rPr>
              <w:t>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楷体" w:hAnsi="楷体" w:eastAsia="楷体" w:cs="楷体"/>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75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效益指标</w:t>
            </w:r>
          </w:p>
        </w:tc>
        <w:tc>
          <w:tcPr>
            <w:tcW w:w="87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经济</w:t>
            </w:r>
            <w:r>
              <w:rPr>
                <w:rFonts w:hint="eastAsia" w:ascii="宋体" w:hAnsi="宋体" w:cs="Times New Roman"/>
                <w:szCs w:val="21"/>
                <w:lang w:val="en-US" w:eastAsia="zh-CN"/>
              </w:rPr>
              <w:t xml:space="preserve"> </w:t>
            </w:r>
            <w:r>
              <w:rPr>
                <w:rFonts w:hint="eastAsia" w:ascii="宋体" w:hAnsi="宋体" w:eastAsia="宋体" w:cs="Times New Roman"/>
                <w:szCs w:val="21"/>
              </w:rPr>
              <w:t>效益</w:t>
            </w:r>
          </w:p>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65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社会</w:t>
            </w:r>
            <w:r>
              <w:rPr>
                <w:rFonts w:hint="eastAsia" w:ascii="宋体" w:hAnsi="宋体" w:cs="Times New Roman"/>
                <w:szCs w:val="21"/>
                <w:lang w:val="en-US" w:eastAsia="zh-CN"/>
              </w:rPr>
              <w:t xml:space="preserve"> </w:t>
            </w:r>
            <w:r>
              <w:rPr>
                <w:rFonts w:hint="eastAsia" w:ascii="宋体" w:hAnsi="宋体" w:eastAsia="宋体" w:cs="Times New Roman"/>
                <w:szCs w:val="21"/>
              </w:rPr>
              <w:t>效益</w:t>
            </w:r>
          </w:p>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9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30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45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生态</w:t>
            </w:r>
            <w:r>
              <w:rPr>
                <w:rFonts w:hint="eastAsia" w:ascii="宋体" w:hAnsi="宋体" w:cs="Times New Roman"/>
                <w:szCs w:val="21"/>
                <w:lang w:val="en-US" w:eastAsia="zh-CN"/>
              </w:rPr>
              <w:t xml:space="preserve"> </w:t>
            </w:r>
            <w:r>
              <w:rPr>
                <w:rFonts w:hint="eastAsia" w:ascii="宋体" w:hAnsi="宋体" w:eastAsia="宋体" w:cs="Times New Roman"/>
                <w:szCs w:val="21"/>
              </w:rPr>
              <w:t>效益</w:t>
            </w:r>
          </w:p>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6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0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0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可持续影响指标</w:t>
            </w: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44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62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Times New Roman"/>
                <w:szCs w:val="21"/>
              </w:rPr>
            </w:pPr>
          </w:p>
        </w:tc>
        <w:tc>
          <w:tcPr>
            <w:tcW w:w="88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26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765"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满意度</w:t>
            </w:r>
          </w:p>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指标</w:t>
            </w:r>
          </w:p>
        </w:tc>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r>
              <w:rPr>
                <w:rFonts w:hint="eastAsia" w:ascii="宋体" w:hAnsi="宋体" w:eastAsia="宋体" w:cs="Times New Roman"/>
                <w:szCs w:val="21"/>
              </w:rPr>
              <w:t>服务对象满意度指标</w:t>
            </w:r>
          </w:p>
        </w:tc>
        <w:tc>
          <w:tcPr>
            <w:tcW w:w="2504" w:type="dxa"/>
            <w:gridSpan w:val="3"/>
            <w:tcBorders>
              <w:top w:val="single" w:color="auto" w:sz="4" w:space="0"/>
              <w:left w:val="nil"/>
              <w:bottom w:val="single" w:color="auto" w:sz="4" w:space="0"/>
              <w:right w:val="single" w:color="auto" w:sz="4" w:space="0"/>
            </w:tcBorders>
            <w:noWrap w:val="0"/>
            <w:vAlign w:val="center"/>
          </w:tcPr>
          <w:p>
            <w:pPr>
              <w:autoSpaceDN w:val="0"/>
              <w:spacing w:line="400" w:lineRule="exact"/>
              <w:jc w:val="left"/>
              <w:textAlignment w:val="center"/>
              <w:rPr>
                <w:rFonts w:hint="eastAsia" w:ascii="宋体" w:hAnsi="宋体" w:eastAsia="仿宋_GB2312" w:cs="Times New Roman"/>
                <w:szCs w:val="21"/>
                <w:lang w:eastAsia="zh-CN"/>
              </w:rPr>
            </w:pPr>
            <w:r>
              <w:rPr>
                <w:rFonts w:hint="eastAsia" w:ascii="宋体" w:hAnsi="宋体" w:eastAsia="仿宋_GB2312" w:cs="仿宋_GB2312"/>
                <w:color w:val="000000"/>
                <w:sz w:val="24"/>
              </w:rPr>
              <w:t>1：群众满意</w:t>
            </w:r>
            <w:r>
              <w:rPr>
                <w:rFonts w:hint="eastAsia" w:ascii="宋体" w:hAnsi="宋体" w:eastAsia="仿宋_GB2312" w:cs="仿宋_GB2312"/>
                <w:color w:val="000000"/>
                <w:sz w:val="24"/>
                <w:lang w:eastAsia="zh-CN"/>
              </w:rPr>
              <w:t>度</w:t>
            </w:r>
          </w:p>
        </w:tc>
        <w:tc>
          <w:tcPr>
            <w:tcW w:w="881" w:type="dxa"/>
            <w:tcBorders>
              <w:top w:val="nil"/>
              <w:left w:val="nil"/>
              <w:bottom w:val="single" w:color="auto" w:sz="4" w:space="0"/>
              <w:right w:val="single" w:color="auto" w:sz="4" w:space="0"/>
            </w:tcBorders>
            <w:noWrap w:val="0"/>
            <w:vAlign w:val="center"/>
          </w:tcPr>
          <w:p>
            <w:pPr>
              <w:autoSpaceDN w:val="0"/>
              <w:spacing w:line="400" w:lineRule="exact"/>
              <w:jc w:val="center"/>
              <w:textAlignment w:val="center"/>
              <w:rPr>
                <w:rFonts w:hint="default" w:ascii="宋体" w:hAnsi="宋体" w:eastAsia="宋体" w:cs="Times New Roman"/>
                <w:szCs w:val="21"/>
                <w:lang w:val="en-US" w:eastAsia="zh-CN"/>
              </w:rPr>
            </w:pPr>
            <w:r>
              <w:rPr>
                <w:rFonts w:hint="eastAsia" w:ascii="宋体" w:hAnsi="宋体" w:cs="Times New Roman"/>
                <w:szCs w:val="21"/>
                <w:lang w:val="en-US" w:eastAsia="zh-CN"/>
              </w:rPr>
              <w:t>100%</w:t>
            </w:r>
          </w:p>
        </w:tc>
        <w:tc>
          <w:tcPr>
            <w:tcW w:w="1260" w:type="dxa"/>
            <w:gridSpan w:val="2"/>
            <w:tcBorders>
              <w:top w:val="nil"/>
              <w:left w:val="nil"/>
              <w:bottom w:val="single" w:color="auto" w:sz="4" w:space="0"/>
              <w:right w:val="single" w:color="auto" w:sz="4" w:space="0"/>
            </w:tcBorders>
            <w:noWrap w:val="0"/>
            <w:vAlign w:val="center"/>
          </w:tcPr>
          <w:p>
            <w:pPr>
              <w:autoSpaceDN w:val="0"/>
              <w:spacing w:line="400" w:lineRule="exact"/>
              <w:jc w:val="center"/>
              <w:textAlignment w:val="center"/>
              <w:rPr>
                <w:rFonts w:hint="default" w:ascii="宋体" w:hAnsi="宋体" w:eastAsia="宋体" w:cs="Times New Roman"/>
                <w:kern w:val="2"/>
                <w:sz w:val="21"/>
                <w:szCs w:val="21"/>
                <w:lang w:val="en-US" w:eastAsia="zh-CN" w:bidi="ar-SA"/>
              </w:rPr>
            </w:pPr>
            <w:r>
              <w:rPr>
                <w:rFonts w:hint="eastAsia" w:ascii="宋体" w:hAnsi="宋体" w:cs="Times New Roman"/>
                <w:szCs w:val="21"/>
                <w:lang w:val="en-US" w:eastAsia="zh-CN"/>
              </w:rPr>
              <w:t>100%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590" w:hRule="exact"/>
          <w:jc w:val="center"/>
        </w:trPr>
        <w:tc>
          <w:tcPr>
            <w:tcW w:w="127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401"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2504" w:type="dxa"/>
            <w:gridSpan w:val="3"/>
            <w:tcBorders>
              <w:top w:val="single" w:color="auto" w:sz="4" w:space="0"/>
              <w:left w:val="nil"/>
              <w:right w:val="single" w:color="auto" w:sz="4" w:space="0"/>
            </w:tcBorders>
            <w:noWrap w:val="0"/>
            <w:vAlign w:val="center"/>
          </w:tcPr>
          <w:p>
            <w:pPr>
              <w:autoSpaceDN w:val="0"/>
              <w:spacing w:line="400" w:lineRule="exact"/>
              <w:jc w:val="left"/>
              <w:textAlignment w:val="center"/>
              <w:rPr>
                <w:rFonts w:ascii="宋体" w:hAnsi="宋体" w:eastAsia="宋体" w:cs="Times New Roman"/>
                <w:szCs w:val="21"/>
              </w:rPr>
            </w:pPr>
            <w:r>
              <w:rPr>
                <w:rFonts w:hint="eastAsia" w:ascii="宋体" w:hAnsi="宋体" w:eastAsia="仿宋_GB2312" w:cs="仿宋_GB2312"/>
                <w:color w:val="000000"/>
                <w:sz w:val="24"/>
              </w:rPr>
              <w:t>2：科技服务产业</w:t>
            </w:r>
          </w:p>
        </w:tc>
        <w:tc>
          <w:tcPr>
            <w:tcW w:w="881" w:type="dxa"/>
            <w:tcBorders>
              <w:top w:val="nil"/>
              <w:left w:val="nil"/>
              <w:right w:val="single" w:color="auto" w:sz="4" w:space="0"/>
            </w:tcBorders>
            <w:noWrap w:val="0"/>
            <w:vAlign w:val="center"/>
          </w:tcPr>
          <w:p>
            <w:pPr>
              <w:autoSpaceDN w:val="0"/>
              <w:spacing w:line="400" w:lineRule="exact"/>
              <w:jc w:val="center"/>
              <w:textAlignment w:val="center"/>
              <w:rPr>
                <w:rFonts w:ascii="宋体" w:hAnsi="宋体" w:eastAsia="宋体" w:cs="Times New Roman"/>
                <w:szCs w:val="21"/>
              </w:rPr>
            </w:pPr>
            <w:r>
              <w:rPr>
                <w:rFonts w:hint="eastAsia" w:ascii="宋体" w:hAnsi="宋体" w:eastAsia="仿宋_GB2312" w:cs="仿宋_GB2312"/>
                <w:color w:val="000000"/>
                <w:sz w:val="24"/>
              </w:rPr>
              <w:t>100%</w:t>
            </w:r>
          </w:p>
        </w:tc>
        <w:tc>
          <w:tcPr>
            <w:tcW w:w="1260" w:type="dxa"/>
            <w:gridSpan w:val="2"/>
            <w:tcBorders>
              <w:top w:val="nil"/>
              <w:left w:val="nil"/>
              <w:right w:val="single" w:color="auto" w:sz="4" w:space="0"/>
            </w:tcBorders>
            <w:noWrap w:val="0"/>
            <w:vAlign w:val="center"/>
          </w:tcPr>
          <w:p>
            <w:pPr>
              <w:autoSpaceDN w:val="0"/>
              <w:spacing w:line="400" w:lineRule="exact"/>
              <w:jc w:val="center"/>
              <w:textAlignment w:val="center"/>
              <w:rPr>
                <w:rFonts w:ascii="宋体" w:hAnsi="宋体" w:eastAsia="宋体" w:cs="Times New Roman"/>
                <w:kern w:val="2"/>
                <w:sz w:val="21"/>
                <w:szCs w:val="21"/>
                <w:lang w:val="en-US" w:eastAsia="zh-CN" w:bidi="ar-SA"/>
              </w:rPr>
            </w:pPr>
            <w:r>
              <w:rPr>
                <w:rFonts w:hint="eastAsia" w:ascii="宋体" w:hAnsi="宋体" w:eastAsia="仿宋_GB2312" w:cs="仿宋_GB2312"/>
                <w:color w:val="000000"/>
                <w:sz w:val="24"/>
              </w:rPr>
              <w:t>100%</w:t>
            </w:r>
          </w:p>
        </w:tc>
        <w:tc>
          <w:tcPr>
            <w:tcW w:w="52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5</w:t>
            </w:r>
          </w:p>
        </w:tc>
        <w:tc>
          <w:tcPr>
            <w:tcW w:w="42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szCs w:val="21"/>
              </w:rPr>
            </w:pPr>
          </w:p>
        </w:tc>
      </w:tr>
      <w:tr>
        <w:tblPrEx>
          <w:tblCellMar>
            <w:top w:w="0" w:type="dxa"/>
            <w:left w:w="108" w:type="dxa"/>
            <w:bottom w:w="0" w:type="dxa"/>
            <w:right w:w="108" w:type="dxa"/>
          </w:tblCellMar>
        </w:tblPrEx>
        <w:trPr>
          <w:trHeight w:val="710" w:hRule="exact"/>
          <w:jc w:val="center"/>
        </w:trPr>
        <w:tc>
          <w:tcPr>
            <w:tcW w:w="720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2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42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p>
        </w:tc>
        <w:tc>
          <w:tcPr>
            <w:tcW w:w="130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autoSpaceDN w:val="0"/>
        <w:textAlignment w:val="center"/>
        <w:rPr>
          <w:rFonts w:hint="eastAsia" w:ascii="宋体" w:hAnsi="宋体"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701" w:right="1304" w:bottom="1598" w:left="1587" w:header="851" w:footer="992" w:gutter="0"/>
          <w:pgNumType w:fmt="numberInDash"/>
          <w:cols w:space="720" w:num="1"/>
          <w:docGrid w:linePitch="602" w:charSpace="0"/>
        </w:sectPr>
      </w:pPr>
    </w:p>
    <w:p>
      <w:pPr>
        <w:jc w:val="center"/>
        <w:rPr>
          <w:rFonts w:hint="eastAsia" w:ascii="方正小标宋_GBK" w:hAnsi="宋体" w:eastAsia="方正小标宋_GBK" w:cs="黑体"/>
          <w:sz w:val="44"/>
          <w:szCs w:val="44"/>
        </w:rPr>
      </w:pPr>
      <w:r>
        <w:rPr>
          <w:rFonts w:hint="eastAsia" w:ascii="方正小标宋_GBK" w:hAnsi="宋体" w:eastAsia="方正小标宋_GBK" w:cs="黑体"/>
          <w:sz w:val="44"/>
          <w:szCs w:val="44"/>
        </w:rPr>
        <w:t>部门整体支出绩效评价报告</w:t>
      </w:r>
    </w:p>
    <w:p>
      <w:pPr>
        <w:spacing w:line="600" w:lineRule="exact"/>
        <w:jc w:val="center"/>
        <w:rPr>
          <w:rFonts w:hint="eastAsia" w:ascii="宋体" w:hAnsi="宋体" w:eastAsia="楷体_GB2312" w:cs="Times New Roman"/>
          <w:sz w:val="32"/>
          <w:szCs w:val="32"/>
        </w:rPr>
      </w:pPr>
    </w:p>
    <w:p>
      <w:pPr>
        <w:spacing w:line="440" w:lineRule="exact"/>
        <w:ind w:firstLine="640" w:firstLineChars="200"/>
        <w:rPr>
          <w:rFonts w:hint="eastAsia" w:ascii="宋体"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仿宋_GB2312" w:cs="Times New Roman"/>
          <w:b/>
          <w:sz w:val="32"/>
          <w:szCs w:val="32"/>
        </w:rPr>
      </w:pPr>
      <w:r>
        <w:rPr>
          <w:rFonts w:hint="eastAsia" w:ascii="黑体" w:hAnsi="黑体" w:eastAsia="黑体" w:cs="Times New Roman"/>
          <w:sz w:val="32"/>
          <w:szCs w:val="32"/>
        </w:rPr>
        <w:t>一、部门（单位）概况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宋体" w:hAnsi="宋体" w:eastAsia="仿宋_GB2312" w:cs="Times New Roman"/>
          <w:sz w:val="32"/>
          <w:szCs w:val="32"/>
        </w:rPr>
      </w:pPr>
      <w:r>
        <w:rPr>
          <w:rFonts w:hint="eastAsia" w:ascii="楷体" w:hAnsi="楷体" w:eastAsia="楷体" w:cs="楷体"/>
          <w:sz w:val="32"/>
          <w:szCs w:val="32"/>
        </w:rPr>
        <w:t>（一）部门（单位）基本情况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宋体" w:hAnsi="宋体" w:eastAsia="仿宋_GB2312" w:cs="Times New Roman"/>
          <w:sz w:val="32"/>
          <w:szCs w:val="32"/>
        </w:rPr>
      </w:pPr>
      <w:r>
        <w:rPr>
          <w:rFonts w:hint="eastAsia" w:ascii="宋体" w:hAnsi="宋体" w:eastAsia="仿宋_GB2312" w:cs="Times New Roman"/>
          <w:sz w:val="32"/>
          <w:szCs w:val="32"/>
        </w:rPr>
        <w:t>长沙市岳麓区科技局为财政全额拨款的行政单位，现有编制人数12人，目前实有在职人员14人，临聘人员1人。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宋体" w:hAnsi="宋体" w:eastAsia="仿宋_GB2312" w:cs="Times New Roman"/>
          <w:sz w:val="32"/>
          <w:szCs w:val="32"/>
        </w:rPr>
      </w:pPr>
      <w:r>
        <w:rPr>
          <w:rFonts w:hint="eastAsia" w:ascii="宋体" w:hAnsi="宋体" w:eastAsia="仿宋_GB2312" w:cs="Times New Roman"/>
          <w:sz w:val="32"/>
          <w:szCs w:val="32"/>
        </w:rPr>
        <w:t>我局现有内设机构3个，分别是办公室、产业发展科、项目服务科（行政审批和政务服务科），局属二级机构和事业单位1个，是长沙市岳麓区生产力促进中心。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宋体" w:hAnsi="宋体" w:eastAsia="仿宋_GB2312" w:cs="Times New Roman"/>
          <w:sz w:val="32"/>
          <w:szCs w:val="32"/>
        </w:rPr>
      </w:pPr>
      <w:r>
        <w:rPr>
          <w:rFonts w:hint="eastAsia" w:ascii="宋体" w:hAnsi="宋体" w:eastAsia="仿宋_GB2312" w:cs="Times New Roman"/>
          <w:sz w:val="32"/>
          <w:szCs w:val="32"/>
        </w:rPr>
        <w:t>2019年</w:t>
      </w:r>
      <w:r>
        <w:rPr>
          <w:rFonts w:hint="eastAsia" w:ascii="宋体" w:hAnsi="宋体" w:eastAsia="仿宋_GB2312" w:cs="Times New Roman"/>
          <w:sz w:val="32"/>
          <w:szCs w:val="32"/>
          <w:lang w:eastAsia="zh-CN"/>
        </w:rPr>
        <w:t>主要工作：</w:t>
      </w:r>
      <w:r>
        <w:rPr>
          <w:rFonts w:hint="eastAsia" w:ascii="宋体" w:hAnsi="宋体" w:eastAsia="仿宋_GB2312" w:cs="Times New Roman"/>
          <w:sz w:val="32"/>
          <w:szCs w:val="32"/>
        </w:rPr>
        <w:t>在区委、区政府的正确领导下，全区科创经济按照产业发展年及营商环境优化年的任务要求，紧紧围绕省、市专题会议、区委关于大科城建设20条工作举措的要求部署，不断完善顶层设计，深入推进区校合作，狠抓创新生态打造，着力完善服务体系，不断推动科技与经济紧密结合，切实加强对全区科技进步事业的组织领导，全力建设“知识岳麓”“创新岳麓”。</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outlineLvl w:val="0"/>
        <w:rPr>
          <w:rFonts w:hint="eastAsia" w:ascii="宋体" w:hAnsi="宋体" w:eastAsia="仿宋_GB2312" w:cs="Times New Roman"/>
          <w:sz w:val="32"/>
          <w:szCs w:val="32"/>
        </w:rPr>
      </w:pPr>
      <w:r>
        <w:rPr>
          <w:rFonts w:hint="eastAsia" w:ascii="楷体" w:hAnsi="楷体" w:eastAsia="楷体" w:cs="楷体"/>
          <w:sz w:val="32"/>
          <w:szCs w:val="32"/>
        </w:rPr>
        <w:t>部门（单位）整体支出规模、使用方向和主要内容、涉及范围等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outlineLvl w:val="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    2019年财政拨款收入5537.52万元，其中：年初预算321.47万元，财政追加292.96，上年结转822.82万元，上级项目经费4063.38万元，其他36.89万元。2019年基本支出376.34万元，项目支出 3900.89万元，结转1223.39万元。各项支出按照批准的预算审核列支，严格控制在预算额度内使用，支出的范围和标准符合相关规定。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宋体" w:hAnsi="宋体" w:eastAsia="仿宋_GB2312" w:cs="Times New Roman"/>
          <w:sz w:val="32"/>
          <w:szCs w:val="32"/>
        </w:rPr>
      </w:pPr>
      <w:r>
        <w:rPr>
          <w:rFonts w:hint="eastAsia" w:ascii="楷体" w:hAnsi="楷体" w:eastAsia="楷体" w:cs="楷体"/>
          <w:sz w:val="32"/>
          <w:szCs w:val="32"/>
        </w:rPr>
        <w:t>（一）基本支出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宋体" w:hAnsi="宋体" w:eastAsia="仿宋_GB2312" w:cs="Times New Roman"/>
          <w:sz w:val="32"/>
          <w:szCs w:val="32"/>
        </w:rPr>
      </w:pPr>
      <w:r>
        <w:rPr>
          <w:rFonts w:hint="eastAsia" w:ascii="宋体" w:hAnsi="宋体" w:eastAsia="仿宋_GB2312" w:cs="Times New Roman"/>
          <w:sz w:val="32"/>
          <w:szCs w:val="32"/>
        </w:rPr>
        <w:t>2019年基本支出376.34万元，年初预算243.67万元，本年追加预算87.74万元，上级指标60万元，结余92.86万元。主要用于保障单位正常运转、完成日常工作任务而发生的支出，人员经费和日常公用经费。201</w:t>
      </w:r>
      <w:r>
        <w:rPr>
          <w:rFonts w:hint="eastAsia" w:ascii="宋体" w:hAnsi="宋体" w:eastAsia="仿宋_GB2312" w:cs="Times New Roman"/>
          <w:sz w:val="32"/>
          <w:szCs w:val="32"/>
          <w:lang w:val="en-US" w:eastAsia="zh-CN"/>
        </w:rPr>
        <w:t>9</w:t>
      </w:r>
      <w:r>
        <w:rPr>
          <w:rFonts w:hint="eastAsia" w:ascii="宋体" w:hAnsi="宋体" w:eastAsia="仿宋_GB2312" w:cs="Times New Roman"/>
          <w:sz w:val="32"/>
          <w:szCs w:val="32"/>
        </w:rPr>
        <w:t>年“三公”经费年初预算4.75万元，其中：接待费年初预算4.75万元，实际支出0万元。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专项支出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textAlignment w:val="auto"/>
        <w:outlineLvl w:val="0"/>
        <w:rPr>
          <w:rFonts w:hint="eastAsia" w:ascii="宋体" w:hAnsi="宋体" w:eastAsia="仿宋_GB2312" w:cs="Times New Roman"/>
          <w:sz w:val="32"/>
          <w:szCs w:val="32"/>
        </w:rPr>
      </w:pPr>
      <w:r>
        <w:rPr>
          <w:rFonts w:hint="eastAsia" w:ascii="宋体" w:hAnsi="宋体" w:eastAsia="仿宋_GB2312" w:cs="Times New Roman"/>
          <w:sz w:val="32"/>
          <w:szCs w:val="32"/>
        </w:rPr>
        <w:t>2019年项目支出3900.89万元，年初预算77.8万元，本年追加预算205.23万元，上年结余822.82万元，上级项目经费4063.38万元。其中4886.2万元是上级科技项目资金，结余1130.53万元；</w:t>
      </w:r>
      <w:r>
        <w:rPr>
          <w:rFonts w:hint="eastAsia" w:ascii="宋体" w:hAnsi="宋体" w:eastAsia="仿宋_GB2312" w:cs="Times New Roman"/>
          <w:sz w:val="32"/>
          <w:szCs w:val="32"/>
          <w:lang w:eastAsia="zh-CN"/>
        </w:rPr>
        <w:t>本级专项</w:t>
      </w:r>
      <w:r>
        <w:rPr>
          <w:rFonts w:hint="eastAsia" w:ascii="宋体" w:hAnsi="宋体" w:eastAsia="仿宋_GB2312" w:cs="Times New Roman"/>
          <w:sz w:val="32"/>
          <w:szCs w:val="32"/>
          <w:lang w:val="en-US" w:eastAsia="zh-CN"/>
        </w:rPr>
        <w:t>283.03</w:t>
      </w:r>
      <w:r>
        <w:rPr>
          <w:rFonts w:hint="eastAsia" w:ascii="宋体" w:hAnsi="宋体" w:eastAsia="仿宋_GB2312" w:cs="Times New Roman"/>
          <w:sz w:val="32"/>
          <w:szCs w:val="32"/>
        </w:rPr>
        <w:t>万元主要用于区产业发展奖励、知识产权专项业务工作；科技特派员、专家顾问团专项工作；创新创业示范工程、科技创新大赛、科协专项工作等</w:t>
      </w:r>
      <w:r>
        <w:rPr>
          <w:rFonts w:hint="eastAsia" w:ascii="宋体" w:hAnsi="宋体"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三、部门（单位）专项组织实施情况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仿宋_GB2312" w:cs="Times New Roman"/>
          <w:sz w:val="32"/>
          <w:szCs w:val="32"/>
        </w:rPr>
      </w:pPr>
      <w:r>
        <w:rPr>
          <w:rFonts w:hint="eastAsia" w:ascii="宋体" w:hAnsi="宋体" w:eastAsia="仿宋_GB2312" w:cs="Times New Roman"/>
          <w:sz w:val="32"/>
          <w:szCs w:val="32"/>
        </w:rPr>
        <w:t>（一）我局严格按照年初预算项目要求，由各分管领导组织专项资金使用的申报、审批。并按合同要求组织验收。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仿宋_GB2312" w:cs="Times New Roman"/>
          <w:sz w:val="32"/>
          <w:szCs w:val="32"/>
        </w:rPr>
      </w:pPr>
      <w:r>
        <w:rPr>
          <w:rFonts w:hint="eastAsia" w:ascii="宋体" w:hAnsi="宋体" w:eastAsia="仿宋_GB2312" w:cs="Times New Roman"/>
          <w:sz w:val="32"/>
          <w:szCs w:val="32"/>
        </w:rPr>
        <w:t>（二）对专项资金的管理我局遵循专款专用、单独核算的管理原则；专项项目的申报严格按照财政资金管理的要求进行，专项资金财政拨款到位后及时进行了项目的开展和资金的投入。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四、部门（单位）整体支出绩效情况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楷体" w:hAnsi="楷体" w:eastAsia="楷体" w:cs="楷体"/>
          <w:sz w:val="32"/>
          <w:szCs w:val="32"/>
        </w:rPr>
      </w:pPr>
      <w:r>
        <w:rPr>
          <w:rFonts w:hint="eastAsia" w:ascii="楷体" w:hAnsi="楷体" w:eastAsia="楷体" w:cs="楷体"/>
          <w:sz w:val="32"/>
          <w:szCs w:val="32"/>
        </w:rPr>
        <w:t>（一）培育高新技术产业，夯实科创基础。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制定企业“登高行动方案”，建立高企后备企业库。我局根据形势变化制定《2019年岳麓区加快高新技术企业培育工作方案》，建立《2019年高企、小巨人企业后备库》，企业数总数近100家，为今年高企申报奠定坚实基础。截至目前，已组织23家科技型企业申报2019年第一批国家高新技术企业认定，27家科技型企业计划申报2019年第二批国家高新技术企业认定，19家科技型企业计划申报第三批国家高新技术企业认定。二是开展高新技术企业认定培训，指导获批高企和小巨人企业兑现奖励政策。在市科技局的支持下，我局会同现代服务业发展中心、岳麓高新区、中南大学科技园（研发）总部于4月17日-19日连续举办了三场“科创政策进园区、进企业、进楼宇宣传宣讲活动”，组织了150多家企业参加高企申报和研发费用加计扣除等实务培训。鉴于科创企业对科技项目立项和奖励政策不熟悉，在创新过程中又急需政策扶持，特为企业开辟“绿色通道”，合规合法快速兑现奖励。三是助推技术贸易合同成交。年初对中南大学、湖南大学、矿冶研究院等技术贸易大户进行走访，摸清技术合同登记工作底数。认真做好技术合同登记备案工作，联合技术合同登记处室及时为企业提供指导。截至10月底，已备案的技术贸易合同额10.6亿元，湖南大学，中南大学各有一批大额合同正在洽谈中。四是引导企业加大自主创新，提高全社会R&amp;D经费投入。按照市局统一部署，于2018年底召开了全区R&amp;D工作调度会议，明确工作调度机制，由区科技局负责统筹协调，区统计局负责业务指导，有关部门按照各自负责的行业分线指导R&amp;D数据的统计。5月份制定了《2019年岳麓区加快高新技术企业培育工作方案》，极大地改善科技型中小企业结构，为扩大全社会R&amp;D经费投入夯实了基础。同时积极宣传企业研发投入普惠性政策。研发费用加计扣除，省、市研发经费奖补等政策是推动企业加大R&amp;D经费投入的重要抓手，上半年连续举办了四场“科创政策进园区、进企业、进楼宇宣传宣讲活动”，组织了270多家企业，培训研发费用加计扣除、研发经费奖补等政策的申报实务。通过培训，帮助企业了解政策申报程序，引导具备申报条件的企业开展工作。指导42家企业申报省科技厅研发奖补，奖补资金达925万元；组织2018年获评的9家科技小巨人企业，34家高企申报市局研发补助，补助资金达540多万。走访部分高校、规上企业。区领导带队走访驻区高校领导，沟通R&amp;D经费投入工作进展，协商区校共同推动科研成果转化的工作安排和工作机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（二）推进产业招商，科创经济态势强劲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一是夯实产业招商基础，建立资源清单。在产业领导小组的领导下，成立岳麓山国家大学科技城招商工作组，定期对项目落户过程中遇到的问题进行及时梳理、调度和解决。建立详细资源清单，摸清大科城产业空间、招商底数等基础信息，制定“两图两库”，建立了16个标志性平台和20家标志性企业名录库；二是开展产业招商活动，强化招商对接。既赴外地走访对接，也邀请项目团队到大科城交流考察，举办产业发展年“重大项目集中签约”暨营商环境优化年“产业政策集中兑现”活动，大科城6个重大产业项目在会上签署合作协议；积极参与“2019湖南粤港澳大湾区投资贸易洽谈周活动”；在周凡区长率领下，赴深圳、杭州等地开展精准招商活动；由市委谭慧慧副秘书长带队，赴上海考察飞马旅、新诤信、迈科技总部基地，就项目落地进行深度考察和交流。今年共接待来访团队64批次；围绕“一圈、一廊、一街、一镇”，抓产业导入，截至目前，中南大学科技园累计注册科创企业176家、入驻企业43家、专业服务机构21家、税收突破3500万元；后湖依托湖南大学的设计类优势学科，导入设计类企业81家；西湖58小镇导入企业132家，德必集团岳麓人工智能中心、大米科技，迈科技、新诤信全国第二总部、聚仪网、码尚定制、云天励飞、华锐金融已经签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（三）推动区校合作，成果转化逐步畅通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一是深化区校合作。中南大学各类资源全面实现共享，湖南大学成立成果转化中心，湖南师范大学设立资产管理处。目前，企业员工办理校园卡328张，汇总6108件有效专利，57个省部级以上实验室，120余位优秀科</w:t>
      </w:r>
      <w:bookmarkStart w:id="0" w:name="_GoBack"/>
      <w:r>
        <w:rPr>
          <w:rFonts w:hint="eastAsia" w:ascii="仿宋" w:hAnsi="仿宋" w:eastAsia="仿宋" w:cs="仿宋"/>
          <w:sz w:val="32"/>
          <w:szCs w:val="32"/>
        </w:rPr>
        <w:t>研人才</w:t>
      </w:r>
      <w:bookmarkEnd w:id="0"/>
      <w:r>
        <w:rPr>
          <w:rFonts w:hint="eastAsia" w:ascii="仿宋" w:hAnsi="仿宋" w:eastAsia="仿宋" w:cs="仿宋"/>
          <w:sz w:val="32"/>
          <w:szCs w:val="32"/>
        </w:rPr>
        <w:t>，四张清单收集工作全面启动。二是开展联谊活动。以区域化党建工作为引领，区校互相认领问题项目，共60余个项目正在推进；整合金融中心资源，开展“潮涌湘江、创富岳麓”金融路演活动；中南大学开展“创新岳麓、智汇中南”主题系列活动，今年累计开展21场；湖南大学累计开展2场成果转化对接峰会活动，区校共推成果转化，政产学研深度融合；联合驻区各高校、双创孵化平台，组织筹备“麓山杯”创新创业挑战赛，1+6+N活动方案已经制定，相关活动正有序举办。三是推进平台发展。持续推进“一圈、一廊、一街、一镇、一区”建设和发展。目前，中南大学科技园配套建设已全面到位，展厅也竣工，已完成市级孵化器答辩，正申报国家级大学科技园；省级知识产权示范区已进入公示；对接省市部门，启动岳麓山国家实验室建设工作，“岳麓山创新指数”指数体系编制框架已完成。四是深度对接国内知名高校，与清华大学、北京大学、西安电子科技大学就加强产学研协同创新、科技成果转化等方面达成合作共识。与上海交通大学多次接洽，意向签订全面战略合作协议，上海交通大学将全面助力长沙22条产业链建设，并助推大科城和“长沙半导体研究院”等平台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（四）优化服务，创新氛围不断浓厚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是主题活动方面。今年以来，累计开展活动80余场次。成功举办中国智能汽车路演活动、“创富岳麓，潮涌湘江”路演活动、专业服务机构对接会、创客沙龙、政策宣讲、纪念五四100周年等。围绕高校科研成果转化，会同中南大学、美年大健康筹建“岳麓健康智谷”，会同湖南大学积极推进机器人学院等创新创业人才培养特区建设。正抓紧筹办“麓山杯”创新创业大赛、“中美创投之星”大赛总决赛，同时将和新诤信在11月联合承办2019年全球GSA大赛。团市委会同中南大学等三校团委正在积极筹备推出“岳麓·创讲堂”系列；会同天舟文化等探索在大科城共建“创业吧”等实体书店，以进一步浓厚大科城的双创氛围。二是知识产权服务方面。对岳麓慧云平台模块进行设计与优化，多渠道进行平台的宣传推广；对新云网、天云软件为代表的软件企业开展知识产权确权服务；与中南大学、湖南大学、湖南师范大学共建专利池；举办知识产权法律普及活动3场；知识产权强区建设目前已进入公示阶段。三是科技金融方面。基金小镇一期主体已完工并交付使用；积极筹备建立风补基金，筹备建立大科城投资基金，优先设立风险补偿基金；梳理区内上缴100万以上税收企业、湖南股权交易所挂牌企业、路演活动参与企业，建立企业信息库、上市企业后备库，开展金企对接活动6场次。四是农业科技方面。组织长沙市阡陌休闲农庄、长沙市正伟农业科技有限公司、湖南湘田农业科技有限公司等5家单位申报市科技助农直通车项目。指导长沙新中荷生态农业有限公司、长沙金霖农业等四家企业和农业特派员专家做好年度考察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0"/>
        <w:rPr>
          <w:rFonts w:hint="eastAsia" w:ascii="楷体" w:hAnsi="楷体" w:eastAsia="楷体" w:cs="楷体"/>
          <w:sz w:val="32"/>
          <w:szCs w:val="32"/>
          <w:lang w:eastAsia="zh-CN"/>
        </w:rPr>
      </w:pPr>
      <w:r>
        <w:rPr>
          <w:rFonts w:hint="eastAsia" w:ascii="楷体" w:hAnsi="楷体" w:eastAsia="楷体" w:cs="楷体"/>
          <w:sz w:val="32"/>
          <w:szCs w:val="32"/>
          <w:lang w:eastAsia="zh-CN"/>
        </w:rPr>
        <w:t>（六）科普工作形式多样</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积极开展科普宣传活动，提升科学素养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中下旬，在上级科协的统一部署下，组织了一系列“礼赞共和国，智慧新生活”全国科普日活动：18日，主办“科学家巡团”走进湖南师大附中，邀请了湖南师范大学袁婺洲教授以“转基因安全吗”为题，给200多名高中生带来了一份“科学大餐”，《红网》进行了报道；25日，组织了300余名小学生前往中南大学物理与电子学院实验室，在科普志愿老师的带领下动手操作实验，感觉科学的魅力，《岳麓新闻网》进行了报道；19日，邀请了中南大学湘雅医学院文志斌教授讲授了《健康生活中应注意的误区》，赢得了居民群众的一致好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5月中下旬，为迎接第三个 “全国科技工作者日”的到来，组织了一系列丰富多彩的活动：25日，组织我区高校十余位科技志愿者老师在望月公园开展了“身边的科学--科普游园会”，为居民带来了一场别开生面的科普盛宴，《华声在线》进行了报道；23日，“科学家巡讲团”首场报告会在望月湖二小举行，《人民论坛网》、《华声在线》、《星辰在线》等多家媒体进行了报道；26日，在荷叶塘社区的爱科学实验站开展了“科技筑梦，拥抱未来”的科普活动，以“一张纸的使命”为主题讲演了纸张的历史、发明及改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组建科普志愿服务队伍，开展志愿服务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月，根据《关于组建新时代文明实践学雷锋志愿服务队的通知》（长文明委字〔2019〕10号）文件精神和省委、市委、区委工作要求，组建了200余人的岳麓区科技志愿服务队，按文件要求全部登陆《中国科普》公众号进行了注册，并制作了详细的花名册，组织开展了“助力新时代文明实践中心学雷锋志愿服务活动”。岳麓区依托区域德育资源和高校智力优势，积极联动驻区高校,在湖南大学、湖南师范大学、中南大学等211、985重点院校选拔了80余名优秀大学生注册科技志愿者，充分保证了我区科技志愿队伍的素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9月26日，组织了40余名科技志愿者在曙光泊岸小区采取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r>
        <w:rPr>
          <w:rFonts w:hint="eastAsia" w:ascii="仿宋" w:hAnsi="仿宋" w:eastAsia="仿宋" w:cs="仿宋"/>
          <w:sz w:val="32"/>
          <w:szCs w:val="32"/>
        </w:rPr>
        <w:t>上门入户的形式，手把手地教居民进行正确地分类生活垃圾。9月29日，组织了30余名科技志愿者在游人如织的岳麓山景区采取发放宣传资料、现场游戏互动的方式开展了“垃圾分类、人人有责”活动，有效地增强了群众对垃圾分类的积极性。岳麓区政府网9月30日对岳麓区科技志愿队伍和活动进行了报道。利用“全国科普日”、“全国科技工作者日”等活动为志愿者搭建实践平台，在实践中增长才干，提高科学素养，增强社会责任感。</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存在的主要问题</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通过前述对我局整体支出情况的分析，反映出目前在整体支出的预算编制、执行和管理过程中，依然存在一些问题和不足；针对这些不足，我局将积极采取改进措施，持续改进，不断规范和强化管理。</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年底关账后上级下达指标太多，造成年底结余数额过大，</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改进措施和有关建议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sz w:val="32"/>
          <w:szCs w:val="32"/>
        </w:rPr>
      </w:pPr>
      <w:r>
        <w:rPr>
          <w:rFonts w:hint="eastAsia" w:ascii="仿宋" w:hAnsi="仿宋" w:eastAsia="仿宋" w:cs="仿宋"/>
          <w:sz w:val="32"/>
          <w:szCs w:val="32"/>
        </w:rPr>
        <w:t>进一步加强局本级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sectPr>
      <w:headerReference r:id="rId11" w:type="first"/>
      <w:footerReference r:id="rId14" w:type="first"/>
      <w:headerReference r:id="rId9" w:type="default"/>
      <w:footerReference r:id="rId12" w:type="default"/>
      <w:headerReference r:id="rId10" w:type="even"/>
      <w:footerReference r:id="rId13" w:type="even"/>
      <w:pgSz w:w="11906" w:h="16838"/>
      <w:pgMar w:top="1701" w:right="1304" w:bottom="1701" w:left="1588" w:header="851" w:footer="79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sz w:val="18"/>
      </w:rPr>
    </w:pPr>
    <w:r>
      <w:rPr>
        <w:rFonts w:ascii="Times New Roman" w:hAnsi="Times New Roman" w:eastAsia="宋体" w:cs="Times New Roman"/>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222250" cy="3067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22250" cy="306705"/>
                      </a:xfrm>
                      <a:prstGeom prst="rect">
                        <a:avLst/>
                      </a:prstGeom>
                      <a:noFill/>
                      <a:ln>
                        <a:noFill/>
                      </a:ln>
                    </wps:spPr>
                    <wps:txbx>
                      <w:txbxContent>
                        <w:p>
                          <w:pPr>
                            <w:snapToGrid w:val="0"/>
                            <w:rPr>
                              <w:rFonts w:hint="eastAsia" w:ascii="宋体" w:hAnsi="Times New Roman" w:eastAsia="宋体" w:cs="Times New Roman"/>
                              <w:sz w:val="28"/>
                              <w:szCs w:val="28"/>
                            </w:rPr>
                          </w:pPr>
                          <w:r>
                            <w:rPr>
                              <w:rFonts w:hint="eastAsia" w:ascii="宋体" w:hAnsi="Times New Roman" w:eastAsia="宋体" w:cs="Times New Roman"/>
                              <w:sz w:val="28"/>
                              <w:szCs w:val="28"/>
                            </w:rPr>
                            <w:fldChar w:fldCharType="begin"/>
                          </w:r>
                          <w:r>
                            <w:rPr>
                              <w:rFonts w:hint="eastAsia" w:ascii="宋体" w:hAnsi="Times New Roman" w:eastAsia="宋体" w:cs="Times New Roman"/>
                              <w:sz w:val="28"/>
                              <w:szCs w:val="28"/>
                            </w:rPr>
                            <w:instrText xml:space="preserve"> PAGE  \* MERGEFORMAT </w:instrText>
                          </w:r>
                          <w:r>
                            <w:rPr>
                              <w:rFonts w:hint="eastAsia" w:ascii="宋体" w:hAnsi="Times New Roman" w:eastAsia="宋体" w:cs="Times New Roman"/>
                              <w:sz w:val="28"/>
                              <w:szCs w:val="28"/>
                            </w:rPr>
                            <w:fldChar w:fldCharType="separate"/>
                          </w:r>
                          <w:r>
                            <w:rPr>
                              <w:rFonts w:ascii="Times New Roman" w:hAnsi="Times New Roman" w:eastAsia="宋体" w:cs="Times New Roman"/>
                            </w:rPr>
                            <w:t>- 8 -</w:t>
                          </w:r>
                          <w:r>
                            <w:rPr>
                              <w:rFonts w:hint="eastAsia" w:ascii="宋体" w:hAnsi="Times New Roman" w:eastAsia="宋体"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4.15pt;width:17.5pt;mso-position-horizontal:outside;mso-position-horizontal-relative:margin;mso-wrap-style:none;z-index:251660288;mso-width-relative:page;mso-height-relative:page;" filled="f" stroked="f" coordsize="21600,21600" o:gfxdata="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XXO+adEAAAADAQAADwAAAAAAAAABACAAAAAiAAAAZHJzL2Rvd25y&#10;ZXYueG1sUEsBAhQAFAAAAAgAh07iQALzEIrMAQAAlwMAAA4AAAAAAAAAAQAgAAAAIAEAAGRycy9l&#10;Mm9Eb2MueG1sUEsFBgAAAAAGAAYAWQEAAF4FAAAAAA==&#10;">
              <v:fill on="f" focussize="0,0"/>
              <v:stroke on="f"/>
              <v:imagedata o:title=""/>
              <o:lock v:ext="edit" aspectratio="f"/>
              <v:textbox inset="0mm,0mm,0mm,0mm" style="mso-fit-shape-to-text:t;">
                <w:txbxContent>
                  <w:p>
                    <w:pPr>
                      <w:snapToGrid w:val="0"/>
                      <w:rPr>
                        <w:rFonts w:hint="eastAsia" w:ascii="宋体" w:hAnsi="Times New Roman" w:eastAsia="宋体" w:cs="Times New Roman"/>
                        <w:sz w:val="28"/>
                        <w:szCs w:val="28"/>
                      </w:rPr>
                    </w:pPr>
                    <w:r>
                      <w:rPr>
                        <w:rFonts w:hint="eastAsia" w:ascii="宋体" w:hAnsi="Times New Roman" w:eastAsia="宋体" w:cs="Times New Roman"/>
                        <w:sz w:val="28"/>
                        <w:szCs w:val="28"/>
                      </w:rPr>
                      <w:fldChar w:fldCharType="begin"/>
                    </w:r>
                    <w:r>
                      <w:rPr>
                        <w:rFonts w:hint="eastAsia" w:ascii="宋体" w:hAnsi="Times New Roman" w:eastAsia="宋体" w:cs="Times New Roman"/>
                        <w:sz w:val="28"/>
                        <w:szCs w:val="28"/>
                      </w:rPr>
                      <w:instrText xml:space="preserve"> PAGE  \* MERGEFORMAT </w:instrText>
                    </w:r>
                    <w:r>
                      <w:rPr>
                        <w:rFonts w:hint="eastAsia" w:ascii="宋体" w:hAnsi="Times New Roman" w:eastAsia="宋体" w:cs="Times New Roman"/>
                        <w:sz w:val="28"/>
                        <w:szCs w:val="28"/>
                      </w:rPr>
                      <w:fldChar w:fldCharType="separate"/>
                    </w:r>
                    <w:r>
                      <w:rPr>
                        <w:rFonts w:ascii="Times New Roman" w:hAnsi="Times New Roman" w:eastAsia="宋体" w:cs="Times New Roman"/>
                      </w:rPr>
                      <w:t>- 8 -</w:t>
                    </w:r>
                    <w:r>
                      <w:rPr>
                        <w:rFonts w:hint="eastAsia" w:ascii="宋体"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eastAsia="宋体"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ascii="Times New Roman" w:hAnsi="Times New Roman" w:eastAsia="宋体" w:cs="Times New Roman"/>
      </w:rPr>
    </w:pPr>
    <w:r>
      <w:rPr>
        <w:rFonts w:ascii="Times New Roman" w:hAnsi="Times New Roman" w:eastAsia="宋体" w:cs="Times New Roma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34035" cy="230505"/>
                      </a:xfrm>
                      <a:prstGeom prst="rect">
                        <a:avLst/>
                      </a:prstGeom>
                      <a:noFill/>
                      <a:ln>
                        <a:noFill/>
                      </a:ln>
                    </wps:spPr>
                    <wps:txbx>
                      <w:txbxContent>
                        <w:p>
                          <w:pPr>
                            <w:pStyle w:val="4"/>
                            <w:rPr>
                              <w:rStyle w:val="8"/>
                              <w:rFonts w:ascii="宋体" w:hAnsi="宋体" w:eastAsia="宋体" w:cs="Times New Roman"/>
                              <w:sz w:val="28"/>
                              <w:szCs w:val="28"/>
                            </w:rPr>
                          </w:pPr>
                          <w:r>
                            <w:rPr>
                              <w:rFonts w:ascii="宋体" w:hAnsi="宋体" w:eastAsia="宋体" w:cs="Times New Roman"/>
                              <w:sz w:val="28"/>
                              <w:szCs w:val="28"/>
                            </w:rPr>
                            <w:fldChar w:fldCharType="begin"/>
                          </w:r>
                          <w:r>
                            <w:rPr>
                              <w:rStyle w:val="8"/>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8"/>
                              <w:rFonts w:ascii="宋体" w:hAnsi="宋体" w:eastAsia="宋体" w:cs="Times New Roman"/>
                              <w:sz w:val="28"/>
                              <w:szCs w:val="28"/>
                            </w:rPr>
                            <w:t>- 16 -</w:t>
                          </w:r>
                          <w:r>
                            <w:rPr>
                              <w:rFonts w:ascii="宋体" w:hAnsi="宋体" w:eastAsia="宋体" w:cs="Times New Roman"/>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2.05pt;mso-position-horizontal:outside;mso-position-horizontal-relative:margin;mso-wrap-style:none;z-index:251659264;mso-width-relative:page;mso-height-relative:page;" filled="f" stroked="f" coordsize="21600,21600" o:gfxdata="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D2TH3RAAAAAwEAAA8AAAAAAAAAAQAgAAAAIgAAAGRycy9kb3du&#10;cmV2LnhtbFBLAQIUABQAAAAIAIdO4kDzMytMzQEAAJcDAAAOAAAAAAAAAAEAIAAAACABAABkcnMv&#10;ZTJvRG9jLnhtbFBLBQYAAAAABgAGAFkBAABfBQAAAAA=&#10;">
              <v:fill on="f" focussize="0,0"/>
              <v:stroke on="f"/>
              <v:imagedata o:title=""/>
              <o:lock v:ext="edit" aspectratio="f"/>
              <v:textbox inset="0mm,0mm,0mm,0mm" style="mso-fit-shape-to-text:t;">
                <w:txbxContent>
                  <w:p>
                    <w:pPr>
                      <w:pStyle w:val="4"/>
                      <w:rPr>
                        <w:rStyle w:val="8"/>
                        <w:rFonts w:ascii="宋体" w:hAnsi="宋体" w:eastAsia="宋体" w:cs="Times New Roman"/>
                        <w:sz w:val="28"/>
                        <w:szCs w:val="28"/>
                      </w:rPr>
                    </w:pPr>
                    <w:r>
                      <w:rPr>
                        <w:rFonts w:ascii="宋体" w:hAnsi="宋体" w:eastAsia="宋体" w:cs="Times New Roman"/>
                        <w:sz w:val="28"/>
                        <w:szCs w:val="28"/>
                      </w:rPr>
                      <w:fldChar w:fldCharType="begin"/>
                    </w:r>
                    <w:r>
                      <w:rPr>
                        <w:rStyle w:val="8"/>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8"/>
                        <w:rFonts w:ascii="宋体" w:hAnsi="宋体" w:eastAsia="宋体" w:cs="Times New Roman"/>
                        <w:sz w:val="28"/>
                        <w:szCs w:val="28"/>
                      </w:rPr>
                      <w:t>- 16 -</w:t>
                    </w:r>
                    <w:r>
                      <w:rPr>
                        <w:rFonts w:ascii="宋体" w:hAnsi="宋体" w:eastAsia="宋体" w:cs="Times New Roman"/>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Times New Roman" w:hAnsi="Times New Roman" w:eastAsia="宋体" w:cs="Times New Roman"/>
      </w:rPr>
    </w:pPr>
    <w:r>
      <w:rPr>
        <w:rFonts w:ascii="Times New Roman" w:hAnsi="Times New Roman" w:eastAsia="宋体" w:cs="Times New Roman"/>
      </w:rPr>
      <w:fldChar w:fldCharType="begin"/>
    </w:r>
    <w:r>
      <w:rPr>
        <w:rStyle w:val="8"/>
        <w:rFonts w:ascii="Times New Roman" w:hAnsi="Times New Roman" w:eastAsia="宋体" w:cs="Times New Roman"/>
      </w:rPr>
      <w:instrText xml:space="preserve">PAGE  </w:instrText>
    </w:r>
    <w:r>
      <w:rPr>
        <w:rFonts w:ascii="Times New Roman" w:hAnsi="Times New Roman" w:eastAsia="宋体" w:cs="Times New Roman"/>
      </w:rPr>
      <w:fldChar w:fldCharType="separate"/>
    </w:r>
    <w:r>
      <w:rPr>
        <w:rStyle w:val="8"/>
        <w:rFonts w:ascii="Times New Roman" w:hAnsi="Times New Roman" w:eastAsia="宋体" w:cs="Times New Roman"/>
      </w:rPr>
      <w:t>- 4 -</w:t>
    </w:r>
    <w:r>
      <w:rPr>
        <w:rFonts w:ascii="Times New Roman" w:hAnsi="Times New Roman" w:eastAsia="宋体" w:cs="Times New Roman"/>
      </w:rPr>
      <w:fldChar w:fldCharType="end"/>
    </w:r>
  </w:p>
  <w:p>
    <w:pPr>
      <w:pStyle w:val="4"/>
      <w:ind w:right="360" w:firstLine="360"/>
      <w:rPr>
        <w:rFonts w:ascii="Times New Roman" w:hAnsi="Times New Roman" w:eastAsia="宋体"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eastAsia="宋体"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eastAsia="宋体"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ascii="Times New Roman" w:hAnsi="Times New Roman" w:eastAsia="宋体"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eastAsia="宋体"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8A4270"/>
    <w:multiLevelType w:val="singleLevel"/>
    <w:tmpl w:val="918A4270"/>
    <w:lvl w:ilvl="0" w:tentative="0">
      <w:start w:val="2"/>
      <w:numFmt w:val="chineseCounting"/>
      <w:suff w:val="nothing"/>
      <w:lvlText w:val="（%1）"/>
      <w:lvlJc w:val="left"/>
      <w:rPr>
        <w:rFonts w:hint="eastAsia"/>
      </w:rPr>
    </w:lvl>
  </w:abstractNum>
  <w:abstractNum w:abstractNumId="1">
    <w:nsid w:val="B19B2A6B"/>
    <w:multiLevelType w:val="singleLevel"/>
    <w:tmpl w:val="B19B2A6B"/>
    <w:lvl w:ilvl="0" w:tentative="0">
      <w:start w:val="1"/>
      <w:numFmt w:val="decimal"/>
      <w:suff w:val="nothing"/>
      <w:lvlText w:val="%1、"/>
      <w:lvlJc w:val="left"/>
    </w:lvl>
  </w:abstractNum>
  <w:abstractNum w:abstractNumId="2">
    <w:nsid w:val="FB13DD61"/>
    <w:multiLevelType w:val="singleLevel"/>
    <w:tmpl w:val="FB13DD61"/>
    <w:lvl w:ilvl="0" w:tentative="0">
      <w:start w:val="5"/>
      <w:numFmt w:val="chineseCounting"/>
      <w:suff w:val="nothing"/>
      <w:lvlText w:val="（%1）"/>
      <w:lvlJc w:val="left"/>
      <w:rPr>
        <w:rFonts w:hint="eastAsia"/>
      </w:rPr>
    </w:lvl>
  </w:abstractNum>
  <w:abstractNum w:abstractNumId="3">
    <w:nsid w:val="4816621A"/>
    <w:multiLevelType w:val="singleLevel"/>
    <w:tmpl w:val="4816621A"/>
    <w:lvl w:ilvl="0" w:tentative="0">
      <w:start w:val="1"/>
      <w:numFmt w:val="decimal"/>
      <w:suff w:val="nothing"/>
      <w:lvlText w:val="%1、"/>
      <w:lvlJc w:val="left"/>
    </w:lvl>
  </w:abstractNum>
  <w:abstractNum w:abstractNumId="4">
    <w:nsid w:val="763CB621"/>
    <w:multiLevelType w:val="singleLevel"/>
    <w:tmpl w:val="763CB621"/>
    <w:lvl w:ilvl="0" w:tentative="0">
      <w:start w:val="5"/>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N2FjYjg2Y2EwOWExYzU4YTYwNTY5NzNiZTcwYmUifQ=="/>
  </w:docVars>
  <w:rsids>
    <w:rsidRoot w:val="56E2033C"/>
    <w:rsid w:val="0325740E"/>
    <w:rsid w:val="0CDB0AB3"/>
    <w:rsid w:val="0D8B28C4"/>
    <w:rsid w:val="113008EE"/>
    <w:rsid w:val="16967456"/>
    <w:rsid w:val="19A721B4"/>
    <w:rsid w:val="24A5111C"/>
    <w:rsid w:val="256C4073"/>
    <w:rsid w:val="39CC18A4"/>
    <w:rsid w:val="532B3460"/>
    <w:rsid w:val="56E2033C"/>
    <w:rsid w:val="586D472A"/>
    <w:rsid w:val="5D7B1BE8"/>
    <w:rsid w:val="672A5EC9"/>
    <w:rsid w:val="6EB114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next w:val="1"/>
    <w:link w:val="9"/>
    <w:qFormat/>
    <w:uiPriority w:val="0"/>
    <w:pPr>
      <w:keepNext/>
      <w:keepLines/>
      <w:widowControl w:val="0"/>
      <w:spacing w:line="360" w:lineRule="auto"/>
      <w:jc w:val="both"/>
      <w:outlineLvl w:val="2"/>
    </w:pPr>
    <w:rPr>
      <w:rFonts w:ascii="Times New Roman" w:hAnsi="Times New Roman" w:eastAsia="楷体_GB2312" w:cs="Times New Roman"/>
      <w:b/>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qFormat/>
    <w:uiPriority w:val="0"/>
    <w:pPr>
      <w:widowControl w:val="0"/>
      <w:ind w:firstLine="588" w:firstLineChars="200"/>
      <w:jc w:val="both"/>
    </w:pPr>
    <w:rPr>
      <w:rFonts w:ascii="仿宋_GB2312" w:hAnsi="Times New Roman" w:eastAsia="仿宋_GB2312" w:cs="Times New Roman"/>
      <w:kern w:val="2"/>
      <w:sz w:val="32"/>
      <w:szCs w:val="24"/>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8">
    <w:name w:val="page number"/>
    <w:qFormat/>
    <w:uiPriority w:val="0"/>
  </w:style>
  <w:style w:type="character" w:customStyle="1" w:styleId="9">
    <w:name w:val=" Char Char2"/>
    <w:link w:val="2"/>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7602</Words>
  <Characters>8042</Characters>
  <Lines>0</Lines>
  <Paragraphs>0</Paragraphs>
  <TotalTime>17</TotalTime>
  <ScaleCrop>false</ScaleCrop>
  <LinksUpToDate>false</LinksUpToDate>
  <CharactersWithSpaces>8177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2020-03-19T06:39:00Z</dcterms:created>
  <dc:creator>岳麓区科技局</dc:creator>
  <cp:lastModifiedBy>admin</cp:lastModifiedBy>
  <cp:lastPrinted>2020-03-26T02:07:00Z</cp:lastPrinted>
  <dcterms:modified xsi:type="dcterms:W3CDTF">2023-04-10T06:21:09Z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C9EA19582A604DCAA9A235915CAF14BC_13</vt:lpwstr>
  </property>
</Properties>
</file>