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附件1</w:t>
      </w:r>
    </w:p>
    <w:p>
      <w:pPr>
        <w:spacing w:line="800" w:lineRule="exact"/>
        <w:jc w:val="center"/>
        <w:rPr>
          <w:rFonts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2022年度部门（单位）整体支出</w:t>
      </w:r>
    </w:p>
    <w:p>
      <w:pPr>
        <w:spacing w:line="800" w:lineRule="exact"/>
        <w:jc w:val="center"/>
        <w:rPr>
          <w:rFonts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ascii="宋体" w:hAnsi="宋体" w:eastAsia="仿宋_GB2312"/>
          <w:sz w:val="32"/>
        </w:rPr>
      </w:pPr>
    </w:p>
    <w:p>
      <w:pPr>
        <w:rPr>
          <w:rFonts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 xml:space="preserve"> 长沙市岳麓区市政设施维护中心                                 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</w:t>
      </w:r>
      <w:r>
        <w:rPr>
          <w:rFonts w:hint="eastAsia" w:ascii="宋体" w:hAnsi="宋体" w:eastAsia="仿宋_GB2312"/>
          <w:sz w:val="32"/>
          <w:u w:val="single"/>
        </w:rPr>
        <w:t xml:space="preserve">        202001                                       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 xml:space="preserve">部门（单位）评价组   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spacing w:line="348" w:lineRule="auto"/>
        <w:ind w:firstLine="3648" w:firstLineChars="1140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  部门名称（加盖公章）</w:t>
      </w:r>
    </w:p>
    <w:p>
      <w:pPr>
        <w:spacing w:line="348" w:lineRule="auto"/>
        <w:ind w:firstLine="3648" w:firstLineChars="1140"/>
        <w:rPr>
          <w:rFonts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   年   月   日</w:t>
      </w:r>
    </w:p>
    <w:p>
      <w:pPr>
        <w:spacing w:line="560" w:lineRule="exact"/>
        <w:jc w:val="center"/>
        <w:rPr>
          <w:rFonts w:ascii="宋体" w:hAnsi="宋体" w:eastAsia="仿宋" w:cs="仿宋"/>
          <w:kern w:val="0"/>
          <w:sz w:val="40"/>
          <w:szCs w:val="40"/>
        </w:rPr>
      </w:pPr>
    </w:p>
    <w:p>
      <w:pPr>
        <w:pStyle w:val="5"/>
      </w:pPr>
    </w:p>
    <w:p>
      <w:pPr>
        <w:spacing w:line="560" w:lineRule="exact"/>
        <w:jc w:val="center"/>
        <w:rPr>
          <w:rFonts w:ascii="宋体" w:hAnsi="宋体" w:eastAsia="仿宋" w:cs="仿宋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方正小标宋简体"/>
          <w:kern w:val="0"/>
          <w:sz w:val="40"/>
          <w:szCs w:val="40"/>
        </w:rPr>
      </w:pPr>
      <w:r>
        <w:rPr>
          <w:rFonts w:hint="eastAsia" w:ascii="宋体" w:hAnsi="宋体" w:eastAsia="仿宋" w:cs="仿宋"/>
          <w:kern w:val="0"/>
          <w:sz w:val="40"/>
          <w:szCs w:val="40"/>
        </w:rPr>
        <w:t>2022</w:t>
      </w:r>
      <w:r>
        <w:rPr>
          <w:rFonts w:hint="eastAsia" w:ascii="宋体" w:hAnsi="宋体" w:eastAsia="方正小标宋简体"/>
          <w:kern w:val="0"/>
          <w:sz w:val="40"/>
          <w:szCs w:val="40"/>
        </w:rPr>
        <w:t>年度</w:t>
      </w:r>
      <w:r>
        <w:rPr>
          <w:rFonts w:ascii="宋体" w:hAnsi="宋体" w:eastAsia="方正小标宋简体"/>
          <w:kern w:val="0"/>
          <w:sz w:val="40"/>
          <w:szCs w:val="40"/>
        </w:rPr>
        <w:t>部门整体支出绩效</w:t>
      </w:r>
      <w:r>
        <w:rPr>
          <w:rFonts w:hint="eastAsia" w:ascii="宋体" w:hAnsi="宋体" w:eastAsia="方正小标宋简体"/>
          <w:kern w:val="0"/>
          <w:sz w:val="40"/>
          <w:szCs w:val="40"/>
        </w:rPr>
        <w:t>自</w:t>
      </w:r>
      <w:r>
        <w:rPr>
          <w:rFonts w:ascii="宋体" w:hAnsi="宋体" w:eastAsia="方正小标宋简体"/>
          <w:kern w:val="0"/>
          <w:sz w:val="40"/>
          <w:szCs w:val="40"/>
        </w:rPr>
        <w:t>评表</w:t>
      </w:r>
    </w:p>
    <w:p>
      <w:pPr>
        <w:pStyle w:val="2"/>
      </w:pPr>
    </w:p>
    <w:tbl>
      <w:tblPr>
        <w:tblStyle w:val="6"/>
        <w:tblW w:w="92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40"/>
        <w:gridCol w:w="510"/>
        <w:gridCol w:w="1410"/>
        <w:gridCol w:w="1620"/>
        <w:gridCol w:w="2280"/>
        <w:gridCol w:w="180"/>
        <w:gridCol w:w="660"/>
        <w:gridCol w:w="397"/>
        <w:gridCol w:w="218"/>
        <w:gridCol w:w="367"/>
        <w:gridCol w:w="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部门职责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责区内市政公用设施（含196条主次干道、人行道及排水管网）的维护和管理；研究拟定我区有关城市市政设施管理、公用事业管理工作的政策、规范性文件，并监督实施；组织拟定城市市政设施管理、公用事业和城市综合管理的中长期规划、年度计划并组织实施；参与编制城市建设固定资产投资计划，负责城市公用道路、排水管道等市政设施的维护与管理，对占用、挖掘城市公用道路、排水管网、开设路口和市政公用设施的有偿使用，进行审批和管理；参与城区市政公用事业建设工程质量监督和竣工验收，对与市政管理有关的城区工程的施工进行监督；负责城市管理有关政策法规的宣传教育工作；负责组织实施城区防涝排渍工作；研究提出城区市政维护费及有关专项经费的年度使用计划；负责市政设施的安全监督管理和所属单位的安全生产，组织处理有关灾害和安全事故；研究拟定市政公用事业的发展规划、计划，组织重大科技项目攻关和技术推广；对占用、挖掘城市公用道路的审批管理，由市政设施维护中心受理、审批，并监督执行；完成省、市、区各级交办的其他事项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人员编制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实有人数</w:t>
            </w:r>
          </w:p>
        </w:tc>
        <w:tc>
          <w:tcPr>
            <w:tcW w:w="237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07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整体资金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项   目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全年预算数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全年执行数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执行率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分值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来源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10456.37　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9821.87　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93.93%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（1）财政拨款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10456.37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9821.87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93.93%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（2）其他资金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结构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10456.37　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9821.87　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93.93%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（1）基本支出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2054.28　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1983.83　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96.57%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</w:rPr>
              <w:t>其中：人员支出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1931.12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1860.67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96.35%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z w:val="18"/>
                <w:szCs w:val="18"/>
              </w:rPr>
              <w:t xml:space="preserve">     公用支出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123.16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123.16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67"/>
              </w:tabs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（2）项目支出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8402.09　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7838.04　</w:t>
            </w:r>
          </w:p>
        </w:tc>
        <w:tc>
          <w:tcPr>
            <w:tcW w:w="1237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93.29%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07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体目标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年初设定目标</w:t>
            </w:r>
          </w:p>
        </w:tc>
        <w:tc>
          <w:tcPr>
            <w:tcW w:w="4653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全年完成情况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70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5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站在新的历史起点，我中心将紧密围绕区委、区政府“五城同建”战略目标，以党建为引领、以业务为抓手、以安全为底线，扎实做好各项工作，取得应有成效。一是加强市政日常维护，优化人居环境；二是做好城区防涝排渍，保障人居安全。三是搞好市政专项整治，提升人居品质。四是坚持党建思维，把廉政建设抓实。五是提升工程品质，把项目建设抓牢。六是带着深厚感情，把市政维护抓好。</w:t>
            </w:r>
          </w:p>
        </w:tc>
        <w:tc>
          <w:tcPr>
            <w:tcW w:w="4653" w:type="dxa"/>
            <w:gridSpan w:val="7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2022年，我中心坚持以习近平新时代中国特色社会主义思想为指导，深入学习贯彻党的二十大精神，以党建为引领，围绕市政主责主业，提升行政效能，立足民生实事，真抓实干、锐意进取，推进市政工作迈上新台阶。一是日常维护精益求精。二是应急处突有条不紊。三是专项整治取得实效。四是抓落实，注重内部管理。五是优服务，规范路政管理。六是暖民心，扎实为民办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效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指标1：道路维护及人行道维护完成量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道路维护60000平方米；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人行道维护10000平方米。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完成道路修补72957.3㎡，人行道维护13396.19㎡。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指标2：更换平侧石及加装更换障碍柱数量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更换平侧石2000套米，加装更换障碍柱10000根（个）。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更换平侧石2682.12套米，加装更换障碍柱10258根（个）。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指标3：管网维护数量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维护井座井盖1000座，清掏泄水井20000座，疏通支管200千米。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提升维护各类井座井盖1353座，清掏泄水井30232座，疏通支管325.91千米。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指标1：满足日常办公需要及日常维护需要；保障日常维护高标准。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及时验收，确保采购的材料符合相关维护标准，租赁符合标准的维护用车辆和小型设备。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质量均达到国家质量标准。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指标1：在2022年完成指标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在2022年完成。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在2022年完成。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指标1：控制采购价格；严格按合同支付；合理安排支出。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严格依据合同金额支付，合理安排使用油料费，保证设备车辆运行安全，尽量减少不必要的维修支出。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控制采购价格在区财评核定价格内；严格依据合同金额支付，未超付；合理安排使用油料费等。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指标1：完善城市交通网及管网，提升城市管理品质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完善城市交通网及排水管网，为城市经济发展提供良好的交通环境和生活环境。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“四防”715防沉降智慧井更换112个、破损、陈旧防坠网更换3815个，完成西二环、银盆南路等道路沉陷、异响等病害井盖整改261个，对岳麓大道、雷锋大道、枫林路等28条主次干道窨井盖进行全面提质；扎实开展无障碍设施整治，精细化整改缘石坡192处，整改盲道864平方米，加装、更换障碍设施1156根（个），更换金属盲道条2800余根，公交站引入盲道6处。同时，开展人行道清障专项整治及道路安全隐患专项排查整治，高标准、严要求完成各类重要活动线路保障65次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指标2：加强路政管理，促进经济发展。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加强路政管理，进一步优化营商环境。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在审批环节上提高服务质量，提高办事效率，让群众少跑路；全面加强路面巡查，制止违章无证占道、挖掘施工14起，办理管辖范围内临时占用城市道路许可前置许可意见460件，挖掘城市道路前置许可456件。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指标1：做好日常维护，处置应急事件，保障日常生活出行；扎实为民办事暖民心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做好日常维护，保障日常生活出行，利用有限的资源，开展更多公益工作，精心铺排部署，抓好环境综合整治，制定应急预案，处置应急事件，保障市民出行安全。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善防汛工作机制，对强降雨期间出现的9处易渍点针对性制定“一点一策”应急处置方案，并全部整改到位；充分做好应急保障工作，对现有设备设施定期进行维护保养，同时，采购8台应急抽排设备，将移动抽排能力由原来的6000m³/h增加到10800m³/h；严格落实领导带班及24小时值班值守制度，全年共发布防涝排渍预警17期，启动Ⅳ级应急响应4次，出动应急抢险人员4455人次、应急救援车辆1117台次，有效保障辖区内无大面积长时间积水，确保群众汛期时出行顺畅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指标1：优化市政环境、减少水污染、保护生物多样性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抽排污水、管涵清淤、修复管道，保障管道畅通，减少环境污染。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枫林路（谷丰南路交汇处）污水预留管道堵塞，荷叶路污水管道堵点修复，咸嘉湖路与金星路交汇处污水管道堵塞，湘浦路污水管道堵塞修复，龙王港流域肖河左岸06排口淤积整治，银双路（保利西海岸北门）污水管道变形、沉塌整治，左栗路污水管道堵点修复，六亩丘路污水管堵塞修复等工程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指标1：整治管网，维护道路，促进可持续发展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整治管网，维护道路，促进各方面可持续发展.进一步优化城市居住环境，提升城市居民幸福感。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推进“为民市政”网格服务工作。定期参加社区网格长驻点、积极协助社区疫情防控，深入社区网格，竭力解决一批群众关心的急、难、愁、盼问题，提高服务意识，提升市政形象，全年收到各方赠送锦旗10面。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指标1：提高市民满意度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提高市民满意度。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采集下发各类工单35819条，接收数字化案卷13166条，处置“12345”市民热线485条，确保辖区范围内设施完好、道路通畅。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仿宋" w:cs="仿宋"/>
          <w:sz w:val="36"/>
          <w:szCs w:val="36"/>
        </w:rPr>
        <w:t>2022</w:t>
      </w:r>
      <w:r>
        <w:rPr>
          <w:rFonts w:hint="eastAsia" w:ascii="宋体" w:hAnsi="宋体" w:eastAsia="方正小标宋_GBK" w:cs="方正小标宋_GBK"/>
          <w:sz w:val="36"/>
          <w:szCs w:val="36"/>
        </w:rPr>
        <w:t>年度长沙市岳麓区市政设施维护中心</w:t>
      </w:r>
    </w:p>
    <w:p>
      <w:pPr>
        <w:spacing w:line="600" w:lineRule="exact"/>
        <w:jc w:val="center"/>
        <w:rPr>
          <w:rFonts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方正小标宋_GBK" w:cs="方正小标宋_GBK"/>
          <w:sz w:val="36"/>
          <w:szCs w:val="36"/>
        </w:rPr>
        <w:t>整体支出预算绩效</w:t>
      </w:r>
      <w:r>
        <w:rPr>
          <w:rFonts w:ascii="宋体" w:hAnsi="宋体" w:eastAsia="方正小标宋_GBK" w:cs="方正小标宋_GBK"/>
          <w:sz w:val="36"/>
          <w:szCs w:val="36"/>
        </w:rPr>
        <w:t>自评报告</w:t>
      </w:r>
    </w:p>
    <w:p>
      <w:pPr>
        <w:spacing w:line="440" w:lineRule="exact"/>
        <w:ind w:firstLine="643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楷体_GB2312"/>
          <w:b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一、长沙市岳麓区市政设施维护中心概况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（一）长沙市岳麓区市政设施维护中心基本情况</w:t>
      </w:r>
    </w:p>
    <w:p>
      <w:pPr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．主要职能：负责全区城区道路、排水管网的管理和维护。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．机构情况：内设机构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个，分别是办公室、政工科、财务科、路政管理科、工程技术科、供应保障科、洋学片区维护管理所、大科城片区维护管理所、梅溪湖片区维护管理所、市府片区维护管理所、综合维护科、排水运行科、督查科、绩效办。</w:t>
      </w:r>
    </w:p>
    <w:p>
      <w:pPr>
        <w:ind w:firstLine="640" w:firstLineChars="200"/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．人员情况：在职职工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年新增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人，退休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人，年末实有人数</w:t>
      </w:r>
      <w:r>
        <w:rPr>
          <w:rFonts w:ascii="仿宋_GB2312" w:eastAsia="仿宋_GB2312"/>
          <w:sz w:val="32"/>
          <w:szCs w:val="32"/>
        </w:rPr>
        <w:t>67</w:t>
      </w:r>
      <w:r>
        <w:rPr>
          <w:rFonts w:hint="eastAsia" w:ascii="仿宋_GB2312" w:eastAsia="仿宋_GB2312"/>
          <w:sz w:val="32"/>
          <w:szCs w:val="32"/>
        </w:rPr>
        <w:t>人。退休人员实有人数</w:t>
      </w:r>
      <w:r>
        <w:rPr>
          <w:rFonts w:ascii="仿宋_GB2312" w:eastAsia="仿宋_GB2312"/>
          <w:sz w:val="32"/>
          <w:szCs w:val="32"/>
        </w:rPr>
        <w:t>63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（二）单位整体支出规模、使用方向和主要内容、涉及范围等</w:t>
      </w:r>
    </w:p>
    <w:p>
      <w:pPr>
        <w:pStyle w:val="2"/>
        <w:rPr>
          <w:rFonts w:ascii="宋体" w:hAnsi="宋体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宋体" w:hAnsi="宋体" w:eastAsia="仿宋_GB2312"/>
          <w:sz w:val="32"/>
          <w:szCs w:val="32"/>
        </w:rPr>
        <w:t xml:space="preserve"> 202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</w:rPr>
        <w:t>年纳入绩效目标申报范围的整体支出全年预算数为10456.37万元。主要为完成单位开展维护项目的支出，包括基本支出2054.28万元，其中：人员支出1931.12万元；公用支出123.16万元。项目支出8402.09万元，其中：设备燃修经费308.56万元；管网维护经费700万元；临聘人员专用经费770万元；租赁费386.12万元；劳务费1678.86万元；专用材料费670万元；工程款2868.37万元等。</w:t>
      </w:r>
    </w:p>
    <w:p>
      <w:p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二、单位整体支出管理及使用情况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（一）基本支出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工资福利支出1499.77万元，占基本支出总支出73.01%。对个人和家庭补助支出438.90万元，占基本支出总支出29.26%。商品和服务支出115.61万元，占基本支出总支出7.71%。其中“三公”经费预算数0万元。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（二）专项支出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1、项目支出安排落实、总投入等情况分析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支出8402.09万元。其中：设备燃修经费308.56万元，占3.67%，主要用于生产车辆设备油修保险等开支；管网维护经费700万元，占8.33%，主要用于小型管网维护工程开支；临聘人员专用经费770万元，占9.16%，主要用于单位聘请临聘人员开支；租赁费386.12万元，占4.60%主要用于诚心园办公楼房租、应急设备租赁。劳务费经费1678.86万元，占19.98%，主要用于外请民工队劳务费开支；专用材料费670万元，占7.97%，主要用于购买专用材料的开支；工程款2868.37万元，占34.14%，主要用于各项工程的开支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2、项目支出实际使用情况分析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设备燃修经费实际使用276.92万元，余31.64万元，主要原因为2022年部分车辆维修费未结；管网维护经费实际使用586.49万元，余113.51万元，主要原因为部分小型管网维护工程未结款；日常运行费实际使用245.27万元，余43.84万元，主要原因为部分其他支出未及时结款，团建经费实际使用0.15万元，余1.7万元，主要原因为疫情影响活动开展，其余费用实际使用100%。</w:t>
      </w:r>
      <w:r>
        <w:rPr>
          <w:rFonts w:hint="eastAsia" w:ascii="宋体" w:hAnsi="宋体" w:eastAsia="仿宋" w:cs="仿宋"/>
          <w:sz w:val="30"/>
          <w:szCs w:val="30"/>
        </w:rPr>
        <w:t>工程款2868.37万元，根据财政安排实付</w:t>
      </w:r>
      <w:r>
        <w:rPr>
          <w:rFonts w:hint="eastAsia" w:ascii="仿宋_GB2312" w:hAnsi="仿宋_GB2312" w:eastAsia="仿宋_GB2312" w:cs="仿宋_GB2312"/>
          <w:sz w:val="30"/>
          <w:szCs w:val="30"/>
        </w:rPr>
        <w:t>2495.02万元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3、项目支出管理情况分析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项目支出预算资金均在年初及时到位，未影响支付进度。支出依据均符合规范，未存在虚列项目支出的情况；不存在截留、挤占、挪、用项目资金情况，且均在标准内开支。</w:t>
      </w:r>
    </w:p>
    <w:p>
      <w:p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三、单位专项组织实施情况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（一）专项组织情况分析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我中心紧密围绕区委、区政府“五城同建”战略目标，以党建为引领、以业务为抓手、以安全为底线，扎实做好各项工作，取得应有成效。2022年绩效目标：一是加强市政日常维护，优化人居环境；二是做好城区防涝排渍，保障人居安全；三是搞好市政专项整治，提升人居品质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坚持精细管护、精致作业，对辖区内道路路面、人行道、管网等进行精细化维护，全面提升辖区内市政设施品质。全年共计完成道路修补72957.3㎡，人行道维护13396.19㎡，调整更换平侧石2682.12套米，加装更换障碍柱10258根（个），提升维护各类井座井盖1353座，清掏泄水井30232座，疏通支管325.91千米，检测管网944.9千米。采集下发各类工单35819条，接收数字化案卷13166条，处置“12345”市民热线485条，确保辖区范围内设施完好、道路通畅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完善防汛工作机制，制定了《2022年岳麓区城区防涝排渍工作应急预案》、《2022年岳麓区城区防涝排渍应急演练预案》；对强降雨期间出现的9处易渍点针对性制定“一点一策”应急处置方案，并全部整改到位；充分做好应急保障工作，对现有设备设施定期进行维护保养，同时，采购8台应急抽排设备，将移动抽排能力由原来的6000m³/h增加到10800m³/h；严格落实领导带班及24小时值班值守制度，全年共发布防涝排渍预警17期，启动Ⅳ级应急响应4次，出动应急抢险人员4455人次、应急救援车辆1117台次，有效保障辖区内无大面积长时间积水，确保群众汛期出行顺畅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制定《2022年岳麓区市政设施整治提升工作方案》，开展窨井盖专项整治，完成“四防”715防沉降智慧井更换112个、破损、陈旧防坠网更换3815个，完成西二环、银盆南路等道路沉陷、异响等病害井盖整改261个，对岳麓大道、雷锋大道、枫林路等28条主次干道窨井盖进行全面提质；扎实开展无障碍设施整治，精细化整改缘石坡192处，整改盲道864平方米，加装、更换障碍设施1156根（个），更换金属盲道条2800余根，公交站引入盲道6处。同时，开展人行道清障专项整治及道路安全隐患专项排查整治，高标准、严要求完成各类重要活动线路保障65次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进一步优化营商环境，在审批环节上提高服务质量，提高办事效率，减少流程、减少环节、减少签字，让群众少跑路；全面加强路面巡查，制止违章无证占道、挖掘施工14起，办理管辖范围内临时占用城市道路许可前置许可意见460件，挖掘城市道路前置许可456件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暖民心，扎实为民办事。推进“为民市政”网格服务工作，做好党的二十大精神学习成果与中心业务工作的结合文章。定期参加社区网格长驻点、积极协助社区疫情防控，深入社区网格，竭力解决一批群众关心的急、难、愁、盼问题，提高服务意识，提升市政形象，全年收到各方赠送锦旗10面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6、续建项目顺利竣工。洋湖片区地下管网修复工程管网清淤疏浚及排水工程、湖南金融中心环境整治工程CCTV管网检测所涉管网清淤工程等2个项目的竣工验收。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7、在建项目有序实施。施家港高排水系截流堰改造工程、长沙市老干部活动中心排水改造工程、施家港水系水环境污染综合治理研究项目等3个项目正在有序实施当中。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8、推进前期程序办理。南园路箱涵西干渠湘华小区段提质改造项目已完成立项，正在推进设计深化、评审等前期工作。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完成临时交办工程任务。完成市政中心办公楼南坪提质改造工程、杜鹃路路面排水引流工程、望月湖桥下公交站点改造项目、区城管大队办公楼附属项目提质工程、麓山外国语实验中学校园周边道路提质改造工程、西二环（洛家塘路-望城坡地铁站2C口）段东侧辅道路面提质工程等6个小型建设项目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（二）专项管理情况分析</w:t>
      </w:r>
    </w:p>
    <w:p>
      <w:pPr>
        <w:spacing w:line="550" w:lineRule="exact"/>
        <w:ind w:firstLine="640" w:firstLineChars="20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中心项目决策依据充足，符合经济社会发展规划和中心年度工作计划；项目申报均符合申报条件、严格遵守中心“三重一大”制度，项目调整履行相应手续。</w:t>
      </w:r>
    </w:p>
    <w:p>
      <w:p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四、单位整体支出绩效情况</w:t>
      </w:r>
    </w:p>
    <w:p>
      <w:pPr>
        <w:spacing w:line="55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2022年维护项目均及时验收，确保采购的材料符合相关维护标准；租赁办公楼、租赁维护用车辆和小型设备满足日常办公需要及日常维护需要；聘用人员保障日常维护和机关运行；保障机关、基地日常运行需要；保障维护工程有序开展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整体支出绩效情况体现在以下四个方面：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经济性：提升城市防涝能力，减少经济损失；增加就业，促进经济发展。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效率性：完善基础设施，保障城市居民便捷出行。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有效性：保障路面平整，便捷城市交通，疏通管道淤泥。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可持续性：进一步优化城市居住环境，提高城市居民幸福感。</w:t>
      </w:r>
    </w:p>
    <w:p>
      <w:pPr>
        <w:numPr>
          <w:ilvl w:val="0"/>
          <w:numId w:val="1"/>
        </w:num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存在的主要问题及原因分析</w:t>
      </w:r>
    </w:p>
    <w:p>
      <w:pPr>
        <w:spacing w:line="55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"/>
        </w:rPr>
        <w:t>一是</w:t>
      </w:r>
      <w:r>
        <w:rPr>
          <w:rFonts w:hint="eastAsia" w:ascii="仿宋_GB2312" w:eastAsia="仿宋_GB2312"/>
          <w:sz w:val="32"/>
          <w:szCs w:val="32"/>
        </w:rPr>
        <w:t>随着维护面积的增大，人员、设备缺乏，亟待补充专业技术人员和新型维护设备；二是科学管理，运用现代智能手段开展维护工作能力仍有待加强</w:t>
      </w:r>
      <w:r>
        <w:rPr>
          <w:rFonts w:hint="eastAsia" w:ascii="仿宋_GB2312" w:eastAsia="仿宋_GB2312"/>
          <w:sz w:val="32"/>
          <w:szCs w:val="32"/>
          <w:lang w:val="en"/>
        </w:rPr>
        <w:t>；</w:t>
      </w:r>
      <w:r>
        <w:rPr>
          <w:rFonts w:hint="eastAsia" w:ascii="仿宋_GB2312" w:eastAsia="仿宋_GB2312"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  <w:lang w:val="en"/>
        </w:rPr>
        <w:t>维护</w:t>
      </w:r>
      <w:r>
        <w:rPr>
          <w:rFonts w:hint="eastAsia" w:ascii="仿宋_GB2312" w:eastAsia="仿宋_GB2312"/>
          <w:sz w:val="32"/>
          <w:szCs w:val="32"/>
        </w:rPr>
        <w:t>经费不足</w:t>
      </w:r>
      <w:r>
        <w:rPr>
          <w:rFonts w:hint="eastAsia" w:ascii="仿宋_GB2312" w:eastAsia="仿宋_GB2312"/>
          <w:sz w:val="32"/>
          <w:szCs w:val="32"/>
          <w:lang w:val="en"/>
        </w:rPr>
        <w:t>，维护量激增与年维护经费之间</w:t>
      </w:r>
      <w:r>
        <w:rPr>
          <w:rFonts w:hint="eastAsia" w:ascii="仿宋_GB2312" w:eastAsia="仿宋_GB2312"/>
          <w:sz w:val="32"/>
          <w:szCs w:val="32"/>
        </w:rPr>
        <w:t>存在缺口。</w:t>
      </w:r>
    </w:p>
    <w:p>
      <w:pPr>
        <w:numPr>
          <w:ilvl w:val="0"/>
          <w:numId w:val="1"/>
        </w:num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下一步改进措施和有关建议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坚持以党建为引领，加强党风廉政建设。二是强化制度管理。三是持续推进“五进服务”。四是夯实精细化维护，开展道路坑洞检测。五是推进窨井盖普查与整治，分步实施新区智慧管网建设。六是加强日常巡查责任管理，做好线路保障工作。七是做好应急处置工作。八是全面落实安全生产各项要求。九是主动融入新区发展大局。十是推动路政管理迈上新台阶，进一步增强服务意识，提升服务质量。</w:t>
      </w:r>
    </w:p>
    <w:p>
      <w:pPr>
        <w:spacing w:line="600" w:lineRule="exact"/>
        <w:ind w:firstLine="643" w:firstLineChars="200"/>
        <w:outlineLvl w:val="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七、其他需要说明的情况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328556"/>
    <w:multiLevelType w:val="singleLevel"/>
    <w:tmpl w:val="283285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97449"/>
    <w:rsid w:val="001D28D4"/>
    <w:rsid w:val="00385ED7"/>
    <w:rsid w:val="0049102D"/>
    <w:rsid w:val="00514516"/>
    <w:rsid w:val="009E3F08"/>
    <w:rsid w:val="00F0776E"/>
    <w:rsid w:val="0AB8522B"/>
    <w:rsid w:val="15EA2916"/>
    <w:rsid w:val="1B7C7827"/>
    <w:rsid w:val="1BE41FCD"/>
    <w:rsid w:val="2AA97449"/>
    <w:rsid w:val="2B993788"/>
    <w:rsid w:val="375E227C"/>
    <w:rsid w:val="454B4C42"/>
    <w:rsid w:val="46C200F9"/>
    <w:rsid w:val="6F8C6F93"/>
    <w:rsid w:val="720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Calibri" w:hAnsi="Calibri" w:eastAsia="微软雅黑" w:cs="Times New Roman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2"/>
    <w:qFormat/>
    <w:uiPriority w:val="0"/>
    <w:pPr>
      <w:ind w:firstLine="66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5792</Words>
  <Characters>1113</Characters>
  <Lines>9</Lines>
  <Paragraphs>13</Paragraphs>
  <TotalTime>237</TotalTime>
  <ScaleCrop>false</ScaleCrop>
  <LinksUpToDate>false</LinksUpToDate>
  <CharactersWithSpaces>6892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2023-03-20T08:05:00Z</dcterms:created>
  <dc:creator>Administrator</dc:creator>
  <cp:lastModifiedBy>Administrator</cp:lastModifiedBy>
  <cp:lastPrinted>2023-03-29T02:36:00Z</cp:lastPrinted>
  <dcterms:modified xsi:type="dcterms:W3CDTF">2023-10-27T03:21:28Z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3DC17FD11FAA43C5A6C7AD0F0608BF17</vt:lpwstr>
  </property>
</Properties>
</file>