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60" w:lineRule="exact"/>
        <w:jc w:val="center"/>
        <w:rPr>
          <w:rFonts w:ascii="Times New Roman" w:hAnsi="Times New Roman" w:cs="Times New Roman"/>
          <w:color w:val="auto"/>
          <w:sz w:val="56"/>
          <w:szCs w:val="56"/>
        </w:rPr>
      </w:pPr>
    </w:p>
    <w:p>
      <w:pPr>
        <w:pStyle w:val="14"/>
        <w:spacing w:line="560" w:lineRule="exact"/>
        <w:jc w:val="center"/>
        <w:rPr>
          <w:rFonts w:ascii="Times New Roman" w:hAnsi="Times New Roman" w:cs="Times New Roman"/>
          <w:color w:val="auto"/>
          <w:sz w:val="84"/>
          <w:szCs w:val="84"/>
        </w:rPr>
      </w:pPr>
    </w:p>
    <w:p>
      <w:pPr>
        <w:pStyle w:val="14"/>
        <w:spacing w:line="560" w:lineRule="exact"/>
        <w:jc w:val="center"/>
        <w:rPr>
          <w:rFonts w:ascii="Times New Roman" w:hAnsi="Times New Roman" w:cs="Times New Roman"/>
          <w:color w:val="auto"/>
          <w:sz w:val="84"/>
          <w:szCs w:val="84"/>
        </w:rPr>
      </w:pPr>
    </w:p>
    <w:p>
      <w:pPr>
        <w:pStyle w:val="14"/>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Ansi="黑体" w:cs="Times New Roman"/>
          <w:color w:val="auto"/>
          <w:sz w:val="72"/>
          <w:szCs w:val="72"/>
        </w:rPr>
      </w:pPr>
      <w:r>
        <w:rPr>
          <w:rFonts w:hAnsi="黑体" w:cs="Times New Roman"/>
          <w:color w:val="auto"/>
          <w:sz w:val="72"/>
          <w:szCs w:val="72"/>
        </w:rPr>
        <w:t>20</w:t>
      </w:r>
      <w:r>
        <w:rPr>
          <w:rFonts w:hint="eastAsia" w:hAnsi="黑体" w:cs="Times New Roman"/>
          <w:color w:val="auto"/>
          <w:sz w:val="72"/>
          <w:szCs w:val="72"/>
        </w:rPr>
        <w:t>20</w:t>
      </w:r>
      <w:r>
        <w:rPr>
          <w:rFonts w:hAnsi="黑体" w:cs="Times New Roman"/>
          <w:color w:val="auto"/>
          <w:sz w:val="72"/>
          <w:szCs w:val="72"/>
        </w:rPr>
        <w:t>年度</w:t>
      </w:r>
    </w:p>
    <w:p>
      <w:pPr>
        <w:pStyle w:val="14"/>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Ansi="黑体" w:cs="Times New Roman"/>
          <w:color w:val="auto"/>
          <w:sz w:val="62"/>
          <w:szCs w:val="62"/>
        </w:rPr>
      </w:pPr>
      <w:r>
        <w:rPr>
          <w:rFonts w:hint="eastAsia" w:hAnsi="黑体" w:cs="Times New Roman"/>
          <w:color w:val="auto"/>
          <w:sz w:val="62"/>
          <w:szCs w:val="62"/>
        </w:rPr>
        <w:t>湖南湘江新区土地储备中心</w:t>
      </w:r>
    </w:p>
    <w:p>
      <w:pPr>
        <w:pStyle w:val="14"/>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Ansi="黑体" w:cs="Times New Roman"/>
          <w:color w:val="auto"/>
          <w:sz w:val="62"/>
          <w:szCs w:val="62"/>
        </w:rPr>
      </w:pPr>
      <w:r>
        <w:rPr>
          <w:rFonts w:hAnsi="黑体" w:cs="Times New Roman"/>
          <w:color w:val="auto"/>
          <w:sz w:val="62"/>
          <w:szCs w:val="62"/>
        </w:rPr>
        <w:t>部门决算</w:t>
      </w:r>
    </w:p>
    <w:p>
      <w:pPr>
        <w:pStyle w:val="14"/>
        <w:spacing w:line="560" w:lineRule="exact"/>
        <w:jc w:val="center"/>
        <w:rPr>
          <w:rFonts w:ascii="Times New Roman" w:hAnsi="Times New Roman" w:cs="Times New Roman"/>
          <w:color w:val="auto"/>
          <w:sz w:val="56"/>
          <w:szCs w:val="56"/>
        </w:rPr>
      </w:pPr>
    </w:p>
    <w:p>
      <w:pPr>
        <w:pStyle w:val="14"/>
        <w:spacing w:line="560" w:lineRule="exact"/>
        <w:jc w:val="center"/>
        <w:rPr>
          <w:rFonts w:ascii="Times New Roman" w:hAnsi="Times New Roman" w:cs="Times New Roman"/>
          <w:color w:val="auto"/>
          <w:sz w:val="56"/>
          <w:szCs w:val="56"/>
        </w:rPr>
      </w:pPr>
    </w:p>
    <w:p>
      <w:pPr>
        <w:pStyle w:val="14"/>
        <w:spacing w:line="560" w:lineRule="exact"/>
        <w:jc w:val="center"/>
        <w:rPr>
          <w:rFonts w:ascii="Times New Roman" w:hAnsi="Times New Roman" w:cs="Times New Roman"/>
          <w:color w:val="auto"/>
          <w:sz w:val="56"/>
          <w:szCs w:val="56"/>
        </w:rPr>
      </w:pPr>
    </w:p>
    <w:p>
      <w:pPr>
        <w:pStyle w:val="14"/>
        <w:spacing w:line="560" w:lineRule="exact"/>
        <w:jc w:val="center"/>
        <w:rPr>
          <w:rFonts w:ascii="Times New Roman" w:hAnsi="Times New Roman" w:cs="Times New Roman"/>
          <w:color w:val="auto"/>
          <w:sz w:val="56"/>
          <w:szCs w:val="56"/>
        </w:rPr>
      </w:pPr>
    </w:p>
    <w:p>
      <w:pPr>
        <w:pStyle w:val="14"/>
        <w:spacing w:line="560" w:lineRule="exact"/>
        <w:jc w:val="center"/>
        <w:rPr>
          <w:rFonts w:ascii="Times New Roman" w:hAnsi="Times New Roman" w:cs="Times New Roman"/>
          <w:color w:val="auto"/>
          <w:sz w:val="56"/>
          <w:szCs w:val="56"/>
        </w:rPr>
      </w:pPr>
    </w:p>
    <w:p>
      <w:pPr>
        <w:pStyle w:val="14"/>
        <w:spacing w:line="560" w:lineRule="exact"/>
        <w:jc w:val="center"/>
        <w:rPr>
          <w:rFonts w:ascii="Times New Roman" w:hAnsi="Times New Roman" w:cs="Times New Roman"/>
          <w:color w:val="auto"/>
          <w:sz w:val="56"/>
          <w:szCs w:val="56"/>
        </w:rPr>
      </w:pPr>
    </w:p>
    <w:p>
      <w:pPr>
        <w:spacing w:line="560" w:lineRule="exact"/>
        <w:rPr>
          <w:rFonts w:ascii="Times New Roman" w:hAnsi="Times New Roman" w:eastAsia="方正大标宋简体" w:cs="Times New Roman"/>
          <w:sz w:val="44"/>
          <w:szCs w:val="44"/>
        </w:rPr>
      </w:pPr>
    </w:p>
    <w:p>
      <w:pPr>
        <w:spacing w:line="560" w:lineRule="exact"/>
        <w:jc w:val="center"/>
        <w:rPr>
          <w:rFonts w:ascii="Times New Roman" w:hAnsi="Times New Roman" w:eastAsia="方正大标宋简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p>
    <w:p>
      <w:pPr>
        <w:spacing w:line="560" w:lineRule="exact"/>
        <w:jc w:val="center"/>
        <w:rPr>
          <w:rFonts w:ascii="黑体" w:hAnsi="黑体" w:eastAsia="黑体" w:cs="Times New Roman"/>
          <w:sz w:val="44"/>
          <w:szCs w:val="44"/>
        </w:rPr>
      </w:pPr>
      <w:r>
        <w:rPr>
          <w:rFonts w:ascii="黑体" w:hAnsi="黑体" w:eastAsia="黑体" w:cs="Times New Roman"/>
          <w:sz w:val="44"/>
          <w:szCs w:val="44"/>
        </w:rPr>
        <w:t>目　　录</w:t>
      </w:r>
    </w:p>
    <w:p>
      <w:pPr>
        <w:pStyle w:val="14"/>
        <w:spacing w:line="560" w:lineRule="exact"/>
        <w:jc w:val="center"/>
        <w:rPr>
          <w:rFonts w:ascii="Times New Roman" w:hAnsi="Times New Roman" w:eastAsia="仿宋_GB2312" w:cs="Times New Roman"/>
          <w:color w:val="auto"/>
          <w:sz w:val="32"/>
          <w:szCs w:val="32"/>
        </w:rPr>
      </w:pP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第一部分　单位概况</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一、部门职责</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二、机构设置</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第二部分　20</w:t>
      </w:r>
      <w:r>
        <w:rPr>
          <w:rFonts w:hint="eastAsia" w:ascii="黑体" w:hAnsi="黑体" w:eastAsia="黑体" w:cs="仿宋_GB2312"/>
          <w:sz w:val="32"/>
          <w:szCs w:val="32"/>
        </w:rPr>
        <w:t>20</w:t>
      </w:r>
      <w:r>
        <w:rPr>
          <w:rFonts w:ascii="黑体" w:hAnsi="黑体" w:eastAsia="黑体" w:cs="仿宋_GB2312"/>
          <w:sz w:val="32"/>
          <w:szCs w:val="32"/>
        </w:rPr>
        <w:t>年度部门决算表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一、收入支出决算总表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二、收入决算表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三、支出决算表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四、财政拨款收入支出决算总表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五、一般公共预算财政拨款支出决算表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六、一般公共预算财政拨款基本支出决算表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七、一般公共预算财政拨款“三公”经费支出决算表</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八、政府性基金预算财政拨款收入支出决算表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第三部分　20</w:t>
      </w:r>
      <w:r>
        <w:rPr>
          <w:rFonts w:hint="eastAsia" w:ascii="黑体" w:hAnsi="黑体" w:eastAsia="黑体" w:cs="仿宋_GB2312"/>
          <w:sz w:val="32"/>
          <w:szCs w:val="32"/>
        </w:rPr>
        <w:t>20</w:t>
      </w:r>
      <w:r>
        <w:rPr>
          <w:rFonts w:ascii="黑体" w:hAnsi="黑体" w:eastAsia="黑体" w:cs="仿宋_GB2312"/>
          <w:sz w:val="32"/>
          <w:szCs w:val="32"/>
        </w:rPr>
        <w:t>年度部门决算情况说明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一、收入支出决算总体情况说明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二、收入决算情况说明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三、支出决算情况说明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四、财政拨款收入支出决算总体情况说明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五、一般公共预算财政拨款支出决算情况说明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六、一般公共预算财政拨款基本支出决算情况说明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七、一般公共预算财政拨款三公经费支出决算情况说明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八、政府性基金预算收入支出决算情况</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九、</w:t>
      </w:r>
      <w:r>
        <w:rPr>
          <w:rFonts w:hint="eastAsia" w:ascii="仿宋_GB2312" w:hAnsi="仿宋_GB2312" w:eastAsia="仿宋_GB2312" w:cs="仿宋_GB2312"/>
          <w:sz w:val="32"/>
          <w:szCs w:val="32"/>
        </w:rPr>
        <w:t>国有资本经营预算财政拨款支出决算情况</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关于机关运行经费支出说明</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十一、一般性支出情况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十二、关于政府采购支出说明</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十三、关于国有资产占用情况说明</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十四、关于2020年度预算绩效情况的说明</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第四部分　名词解释</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第五部分　附件</w:t>
      </w: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r>
        <w:rPr>
          <w:rFonts w:hAnsi="黑体" w:cs="Times New Roman"/>
          <w:color w:val="auto"/>
          <w:sz w:val="60"/>
          <w:szCs w:val="60"/>
        </w:rPr>
        <w:t>第一部分　</w:t>
      </w:r>
      <w:r>
        <w:rPr>
          <w:rFonts w:hint="eastAsia" w:hAnsi="黑体" w:cs="Times New Roman"/>
          <w:color w:val="auto"/>
          <w:sz w:val="60"/>
          <w:szCs w:val="60"/>
        </w:rPr>
        <w:t>单位</w:t>
      </w:r>
      <w:r>
        <w:rPr>
          <w:rFonts w:hAnsi="黑体" w:cs="Times New Roman"/>
          <w:color w:val="auto"/>
          <w:sz w:val="60"/>
          <w:szCs w:val="60"/>
        </w:rPr>
        <w:t>概况</w:t>
      </w:r>
    </w:p>
    <w:p>
      <w:pPr>
        <w:autoSpaceDE w:val="0"/>
        <w:autoSpaceDN w:val="0"/>
        <w:adjustRightInd w:val="0"/>
        <w:spacing w:line="56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kern w:val="0"/>
          <w:sz w:val="32"/>
          <w:szCs w:val="32"/>
        </w:rPr>
      </w:pP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一、部门职责</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（一）负责新区农用地转征报批、储备筹资、土地开发和土地供应的前期工作；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（二）负责新区土地挂牌出让、土地转让的具体技术性和事务性工作，收集分析土地市场信息；</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（三）负责新区耕地占补平衡的耕地指标购买、使用和耕地开发、土地综合整治工作；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（四）负责新区国有土地收回、收购的收储工作；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（五）负责新区储备地资产的看护管理、拆迁腾地、临时利用工作；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（六）负责新区棚改计划拟定并组织实施，统筹协调新区棚改工作；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（七）承办党工委、管委会交办的其他事项。</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二、机构设置及决算单位构成</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（一）内设机构设置。内设机构包括：</w:t>
      </w:r>
      <w:r>
        <w:rPr>
          <w:rFonts w:hint="eastAsia" w:ascii="仿宋_GB2312" w:hAnsi="仿宋_GB2312" w:eastAsia="仿宋_GB2312" w:cs="仿宋_GB2312"/>
          <w:sz w:val="32"/>
          <w:szCs w:val="32"/>
        </w:rPr>
        <w:t>综合科、储备科、地产交易信息科、财务科、棚改科共五个科室。</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（二）决算单位构成。20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年部门决算汇总公开单位构成</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单位本级</w:t>
      </w:r>
      <w:r>
        <w:rPr>
          <w:rFonts w:hint="eastAsia" w:ascii="仿宋_GB2312" w:hAnsi="仿宋_GB2312" w:eastAsia="仿宋_GB2312" w:cs="仿宋_GB2312"/>
          <w:sz w:val="32"/>
          <w:szCs w:val="32"/>
        </w:rPr>
        <w:t>。</w:t>
      </w: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r>
        <w:rPr>
          <w:rFonts w:hAnsi="黑体" w:cs="Times New Roman"/>
          <w:color w:val="auto"/>
          <w:sz w:val="60"/>
          <w:szCs w:val="60"/>
        </w:rPr>
        <w:t>第二部分　部门决算表</w:t>
      </w:r>
    </w:p>
    <w:p>
      <w:pPr>
        <w:spacing w:line="560" w:lineRule="exact"/>
        <w:jc w:val="left"/>
        <w:rPr>
          <w:rFonts w:ascii="Times New Roman" w:hAnsi="Times New Roman" w:cs="Times New Roman"/>
          <w:sz w:val="32"/>
          <w:szCs w:val="32"/>
        </w:rPr>
      </w:pPr>
    </w:p>
    <w:p>
      <w:pPr>
        <w:spacing w:line="560" w:lineRule="exact"/>
        <w:jc w:val="left"/>
        <w:rPr>
          <w:rFonts w:ascii="Times New Roman" w:hAnsi="Times New Roman" w:cs="Times New Roman"/>
          <w:sz w:val="32"/>
          <w:szCs w:val="32"/>
        </w:rPr>
        <w:sectPr>
          <w:footerReference r:id="rId3" w:type="default"/>
          <w:pgSz w:w="11906" w:h="16838"/>
          <w:pgMar w:top="1701" w:right="1587" w:bottom="1701" w:left="1587" w:header="851" w:footer="1417" w:gutter="0"/>
          <w:cols w:space="0" w:num="1"/>
          <w:docGrid w:type="lines" w:linePitch="312" w:charSpace="0"/>
        </w:sectPr>
      </w:pPr>
    </w:p>
    <w:p>
      <w:pPr>
        <w:pStyle w:val="14"/>
        <w:spacing w:beforeLines="50" w:afterLines="50" w:line="560" w:lineRule="exact"/>
        <w:jc w:val="center"/>
        <w:rPr>
          <w:rFonts w:hAnsi="黑体" w:cs="Times New Roman"/>
          <w:color w:val="auto"/>
          <w:sz w:val="44"/>
          <w:szCs w:val="44"/>
        </w:rPr>
      </w:pPr>
      <w:r>
        <w:rPr>
          <w:rFonts w:hAnsi="黑体" w:cs="Times New Roman"/>
          <w:color w:val="auto"/>
          <w:sz w:val="44"/>
          <w:szCs w:val="44"/>
        </w:rPr>
        <w:t>收入支出决算总表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公开01表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1"/>
        <w:gridCol w:w="722"/>
        <w:gridCol w:w="1258"/>
        <w:gridCol w:w="4956"/>
        <w:gridCol w:w="722"/>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58" w:type="dxa"/>
            <w:gridSpan w:val="3"/>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收入</w:t>
            </w:r>
          </w:p>
        </w:tc>
        <w:tc>
          <w:tcPr>
            <w:tcW w:w="7203" w:type="dxa"/>
            <w:gridSpan w:val="3"/>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702" w:type="dxa"/>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行次</w:t>
            </w:r>
          </w:p>
        </w:tc>
        <w:tc>
          <w:tcPr>
            <w:tcW w:w="1224" w:type="dxa"/>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c>
          <w:tcPr>
            <w:tcW w:w="4820" w:type="dxa"/>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702" w:type="dxa"/>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行次</w:t>
            </w:r>
          </w:p>
        </w:tc>
        <w:tc>
          <w:tcPr>
            <w:tcW w:w="1681" w:type="dxa"/>
            <w:tcBorders>
              <w:tl2br w:val="nil"/>
              <w:tr2bl w:val="nil"/>
            </w:tcBorders>
            <w:noWrap/>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    次</w:t>
            </w:r>
          </w:p>
        </w:tc>
        <w:tc>
          <w:tcPr>
            <w:tcW w:w="702" w:type="dxa"/>
            <w:tcBorders>
              <w:tl2br w:val="nil"/>
              <w:tr2bl w:val="nil"/>
            </w:tcBorders>
            <w:noWrap/>
            <w:vAlign w:val="center"/>
          </w:tcPr>
          <w:p>
            <w:pPr>
              <w:spacing w:line="560" w:lineRule="exact"/>
              <w:rPr>
                <w:rFonts w:ascii="Times New Roman" w:hAnsi="Times New Roman" w:cs="Times New Roman"/>
                <w:kern w:val="0"/>
                <w:szCs w:val="21"/>
              </w:rPr>
            </w:pPr>
            <w:r>
              <w:rPr>
                <w:rFonts w:ascii="Times New Roman" w:hAnsi="Times New Roman" w:cs="Times New Roman"/>
                <w:kern w:val="0"/>
                <w:szCs w:val="21"/>
              </w:rPr>
              <w:t>　</w:t>
            </w:r>
          </w:p>
        </w:tc>
        <w:tc>
          <w:tcPr>
            <w:tcW w:w="1224"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4820"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    次</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681"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一、一般公共预算财政拨款收入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一、一般公共服务支出</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14</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二、政府性基金预算财政拨款收入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二、外交支出</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15</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三、上级补助收入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三、国防支出</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四、事业收入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四、公共安全支出</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17</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五、经营收入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五、教育支出</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18</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六、附属单位上缴收入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6</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六、科学技术支出</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19</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七、其他收入</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7</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七、……</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20</w:t>
            </w:r>
          </w:p>
        </w:tc>
        <w:tc>
          <w:tcPr>
            <w:tcW w:w="1681"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8</w:t>
            </w:r>
          </w:p>
        </w:tc>
        <w:tc>
          <w:tcPr>
            <w:tcW w:w="1224"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21</w:t>
            </w:r>
          </w:p>
        </w:tc>
        <w:tc>
          <w:tcPr>
            <w:tcW w:w="1681"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本年收入合计</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9</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本年支出合计</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22</w:t>
            </w:r>
          </w:p>
        </w:tc>
        <w:tc>
          <w:tcPr>
            <w:tcW w:w="1681" w:type="dxa"/>
            <w:tcBorders>
              <w:tl2br w:val="nil"/>
              <w:tr2bl w:val="nil"/>
            </w:tcBorders>
            <w:noWrap/>
            <w:vAlign w:val="center"/>
          </w:tcPr>
          <w:p>
            <w:pPr>
              <w:widowControl/>
              <w:spacing w:line="560" w:lineRule="exact"/>
              <w:jc w:val="right"/>
              <w:rPr>
                <w:rFonts w:ascii="Times New Roman" w:hAnsi="Times New Roman" w:cs="Times New Roman"/>
                <w:b/>
                <w:bCs/>
                <w:kern w:val="0"/>
                <w:szCs w:val="21"/>
              </w:rPr>
            </w:pPr>
            <w:r>
              <w:rPr>
                <w:rFonts w:ascii="Times New Roman" w:hAnsi="Times New Roman" w:cs="Times New Roman"/>
                <w:b/>
                <w:bCs/>
                <w:kern w:val="0"/>
                <w:szCs w:val="21"/>
              </w:rPr>
              <w:t>　</w:t>
            </w:r>
            <w:r>
              <w:rPr>
                <w:rFonts w:hint="eastAsia" w:ascii="Times New Roman" w:hAnsi="Times New Roman" w:cs="Times New Roman"/>
                <w:kern w:val="0"/>
                <w:szCs w:val="21"/>
              </w:rPr>
              <w:t>1,151.29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用事业基金弥补收支差额</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结余分配</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23</w:t>
            </w:r>
          </w:p>
        </w:tc>
        <w:tc>
          <w:tcPr>
            <w:tcW w:w="1681"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年初结转和结余</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11</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年末结转和结余</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1681"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12</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25</w:t>
            </w:r>
          </w:p>
        </w:tc>
        <w:tc>
          <w:tcPr>
            <w:tcW w:w="1681" w:type="dxa"/>
            <w:tcBorders>
              <w:tl2br w:val="nil"/>
              <w:tr2bl w:val="nil"/>
            </w:tcBorders>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总计</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13</w:t>
            </w:r>
          </w:p>
        </w:tc>
        <w:tc>
          <w:tcPr>
            <w:tcW w:w="1224" w:type="dxa"/>
            <w:tcBorders>
              <w:tl2br w:val="nil"/>
              <w:tr2bl w:val="nil"/>
            </w:tcBorders>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b/>
                <w:bCs/>
                <w:kern w:val="0"/>
                <w:szCs w:val="21"/>
              </w:rPr>
              <w:t>1,151.29</w:t>
            </w:r>
            <w:r>
              <w:rPr>
                <w:rFonts w:ascii="Times New Roman" w:hAnsi="Times New Roman" w:cs="Times New Roman"/>
                <w:kern w:val="0"/>
                <w:szCs w:val="21"/>
              </w:rPr>
              <w:t>　</w:t>
            </w:r>
          </w:p>
        </w:tc>
        <w:tc>
          <w:tcPr>
            <w:tcW w:w="4820" w:type="dxa"/>
            <w:tcBorders>
              <w:tl2br w:val="nil"/>
              <w:tr2bl w:val="nil"/>
            </w:tcBorders>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总计</w:t>
            </w:r>
          </w:p>
        </w:tc>
        <w:tc>
          <w:tcPr>
            <w:tcW w:w="702" w:type="dxa"/>
            <w:tcBorders>
              <w:tl2br w:val="nil"/>
              <w:tr2bl w:val="nil"/>
            </w:tcBorders>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26</w:t>
            </w:r>
          </w:p>
        </w:tc>
        <w:tc>
          <w:tcPr>
            <w:tcW w:w="1681" w:type="dxa"/>
            <w:tcBorders>
              <w:tl2br w:val="nil"/>
              <w:tr2bl w:val="nil"/>
            </w:tcBorders>
            <w:noWrap/>
            <w:vAlign w:val="center"/>
          </w:tcPr>
          <w:p>
            <w:pPr>
              <w:widowControl/>
              <w:spacing w:line="560" w:lineRule="exact"/>
              <w:jc w:val="right"/>
              <w:rPr>
                <w:rFonts w:ascii="Times New Roman" w:hAnsi="Times New Roman" w:cs="Times New Roman"/>
                <w:b/>
                <w:bCs/>
                <w:kern w:val="0"/>
                <w:szCs w:val="21"/>
              </w:rPr>
            </w:pPr>
            <w:r>
              <w:rPr>
                <w:rFonts w:ascii="Times New Roman" w:hAnsi="Times New Roman" w:cs="Times New Roman"/>
                <w:b/>
                <w:bCs/>
                <w:kern w:val="0"/>
                <w:szCs w:val="21"/>
              </w:rPr>
              <w:t>　</w:t>
            </w:r>
            <w:r>
              <w:rPr>
                <w:rFonts w:hint="eastAsia" w:ascii="Times New Roman" w:hAnsi="Times New Roman" w:cs="Times New Roman"/>
                <w:b/>
                <w:bCs/>
                <w:kern w:val="0"/>
                <w:szCs w:val="21"/>
              </w:rPr>
              <w:t>1,151.29</w:t>
            </w:r>
          </w:p>
        </w:tc>
      </w:tr>
    </w:tbl>
    <w:p>
      <w:pPr>
        <w:widowControl/>
        <w:spacing w:beforeLines="30" w:line="560" w:lineRule="exact"/>
        <w:jc w:val="left"/>
        <w:rPr>
          <w:rFonts w:ascii="Times New Roman" w:hAnsi="Times New Roman" w:eastAsia="黑体" w:cs="Times New Roman"/>
          <w:bCs/>
          <w:kern w:val="0"/>
          <w:sz w:val="32"/>
          <w:szCs w:val="32"/>
        </w:rPr>
      </w:pPr>
      <w:r>
        <w:rPr>
          <w:rFonts w:ascii="Times New Roman" w:hAnsi="Times New Roman" w:eastAsia="楷体_GB2312" w:cs="Times New Roman"/>
          <w:kern w:val="0"/>
          <w:sz w:val="24"/>
          <w:szCs w:val="24"/>
        </w:rPr>
        <w:t>注：</w:t>
      </w:r>
      <w:r>
        <w:rPr>
          <w:rFonts w:hint="eastAsia" w:ascii="Times New Roman" w:hAnsi="Times New Roman" w:eastAsia="楷体_GB2312" w:cs="Times New Roman"/>
          <w:kern w:val="0"/>
          <w:sz w:val="24"/>
          <w:szCs w:val="24"/>
        </w:rPr>
        <w:t>1.</w:t>
      </w:r>
      <w:r>
        <w:rPr>
          <w:rFonts w:ascii="Times New Roman" w:hAnsi="Times New Roman" w:eastAsia="楷体_GB2312" w:cs="Times New Roman"/>
          <w:kern w:val="0"/>
          <w:sz w:val="24"/>
          <w:szCs w:val="24"/>
        </w:rPr>
        <w:t>本表反映部门本年度的总收支和年末结转结余情况。</w:t>
      </w:r>
      <w:r>
        <w:rPr>
          <w:rFonts w:hint="eastAsia" w:ascii="Times New Roman" w:hAnsi="Times New Roman" w:eastAsia="楷体_GB2312" w:cs="Times New Roman"/>
          <w:kern w:val="0"/>
          <w:sz w:val="24"/>
          <w:szCs w:val="24"/>
        </w:rPr>
        <w:t>2.本套报表金额单位转换时可能存在尾数误差。</w:t>
      </w:r>
      <w:r>
        <w:rPr>
          <w:rFonts w:ascii="Times New Roman" w:hAnsi="Times New Roman" w:eastAsia="黑体" w:cs="Times New Roman"/>
          <w:bCs/>
          <w:kern w:val="0"/>
          <w:sz w:val="32"/>
          <w:szCs w:val="32"/>
        </w:rPr>
        <w:br w:type="page"/>
      </w:r>
    </w:p>
    <w:p>
      <w:pPr>
        <w:pStyle w:val="14"/>
        <w:spacing w:beforeLines="50" w:afterLines="50" w:line="560" w:lineRule="exact"/>
        <w:jc w:val="center"/>
        <w:rPr>
          <w:rFonts w:hAnsi="黑体" w:cs="Times New Roman"/>
          <w:color w:val="auto"/>
          <w:sz w:val="44"/>
          <w:szCs w:val="44"/>
        </w:rPr>
      </w:pPr>
      <w:r>
        <w:rPr>
          <w:rFonts w:hAnsi="黑体" w:cs="Times New Roman"/>
          <w:color w:val="auto"/>
          <w:sz w:val="44"/>
          <w:szCs w:val="44"/>
        </w:rPr>
        <w:t>收入决算表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公开02表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2266"/>
        <w:gridCol w:w="1790"/>
        <w:gridCol w:w="1585"/>
        <w:gridCol w:w="1867"/>
        <w:gridCol w:w="1304"/>
        <w:gridCol w:w="1452"/>
        <w:gridCol w:w="1481"/>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519"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179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本年收入合计</w:t>
            </w:r>
          </w:p>
        </w:tc>
        <w:tc>
          <w:tcPr>
            <w:tcW w:w="1585"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财政拨款收入</w:t>
            </w:r>
          </w:p>
        </w:tc>
        <w:tc>
          <w:tcPr>
            <w:tcW w:w="1867"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上级补助收入</w:t>
            </w:r>
          </w:p>
        </w:tc>
        <w:tc>
          <w:tcPr>
            <w:tcW w:w="1304"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事业收入</w:t>
            </w:r>
          </w:p>
        </w:tc>
        <w:tc>
          <w:tcPr>
            <w:tcW w:w="1452"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经营收入</w:t>
            </w:r>
          </w:p>
        </w:tc>
        <w:tc>
          <w:tcPr>
            <w:tcW w:w="1481"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附属单位</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上缴收入</w:t>
            </w:r>
          </w:p>
        </w:tc>
        <w:tc>
          <w:tcPr>
            <w:tcW w:w="1459"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25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s="Times New Roman"/>
                <w:kern w:val="0"/>
                <w:szCs w:val="21"/>
              </w:rPr>
            </w:pPr>
            <w:r>
              <w:rPr>
                <w:rFonts w:ascii="Times New Roman" w:hAnsi="Times New Roman" w:eastAsia="黑体" w:cs="Times New Roman"/>
                <w:kern w:val="0"/>
                <w:szCs w:val="21"/>
              </w:rPr>
              <w:t>功能分类科目编码</w:t>
            </w:r>
          </w:p>
        </w:tc>
        <w:tc>
          <w:tcPr>
            <w:tcW w:w="22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s="Times New Roman"/>
                <w:kern w:val="0"/>
                <w:szCs w:val="21"/>
              </w:rPr>
            </w:pPr>
            <w:r>
              <w:rPr>
                <w:rFonts w:ascii="Times New Roman" w:hAnsi="Times New Roman" w:eastAsia="黑体" w:cs="Times New Roman"/>
                <w:kern w:val="0"/>
                <w:szCs w:val="21"/>
              </w:rPr>
              <w:t>科目名称</w:t>
            </w:r>
          </w:p>
        </w:tc>
        <w:tc>
          <w:tcPr>
            <w:tcW w:w="17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Times New Roman"/>
                <w:kern w:val="0"/>
                <w:szCs w:val="21"/>
              </w:rPr>
            </w:pPr>
          </w:p>
        </w:tc>
        <w:tc>
          <w:tcPr>
            <w:tcW w:w="15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Times New Roman"/>
                <w:kern w:val="0"/>
                <w:szCs w:val="21"/>
              </w:rPr>
            </w:pPr>
          </w:p>
        </w:tc>
        <w:tc>
          <w:tcPr>
            <w:tcW w:w="1867" w:type="dxa"/>
            <w:vMerge w:val="continue"/>
            <w:tcBorders>
              <w:tl2br w:val="nil"/>
              <w:tr2bl w:val="nil"/>
            </w:tcBorders>
            <w:vAlign w:val="center"/>
          </w:tcPr>
          <w:p>
            <w:pPr>
              <w:widowControl/>
              <w:spacing w:line="560" w:lineRule="exact"/>
              <w:jc w:val="left"/>
              <w:rPr>
                <w:rFonts w:ascii="Times New Roman" w:hAnsi="Times New Roman" w:cs="Times New Roman"/>
                <w:kern w:val="0"/>
                <w:szCs w:val="21"/>
              </w:rPr>
            </w:pPr>
          </w:p>
        </w:tc>
        <w:tc>
          <w:tcPr>
            <w:tcW w:w="1304" w:type="dxa"/>
            <w:vMerge w:val="continue"/>
            <w:tcBorders>
              <w:tl2br w:val="nil"/>
              <w:tr2bl w:val="nil"/>
            </w:tcBorders>
            <w:vAlign w:val="center"/>
          </w:tcPr>
          <w:p>
            <w:pPr>
              <w:widowControl/>
              <w:spacing w:line="560" w:lineRule="exact"/>
              <w:jc w:val="left"/>
              <w:rPr>
                <w:rFonts w:ascii="Times New Roman" w:hAnsi="Times New Roman" w:cs="Times New Roman"/>
                <w:kern w:val="0"/>
                <w:szCs w:val="21"/>
              </w:rPr>
            </w:pPr>
          </w:p>
        </w:tc>
        <w:tc>
          <w:tcPr>
            <w:tcW w:w="1452" w:type="dxa"/>
            <w:vMerge w:val="continue"/>
            <w:tcBorders>
              <w:tl2br w:val="nil"/>
              <w:tr2bl w:val="nil"/>
            </w:tcBorders>
            <w:vAlign w:val="center"/>
          </w:tcPr>
          <w:p>
            <w:pPr>
              <w:widowControl/>
              <w:spacing w:line="560" w:lineRule="exact"/>
              <w:jc w:val="left"/>
              <w:rPr>
                <w:rFonts w:ascii="Times New Roman" w:hAnsi="Times New Roman" w:cs="Times New Roman"/>
                <w:kern w:val="0"/>
                <w:szCs w:val="21"/>
              </w:rPr>
            </w:pPr>
          </w:p>
        </w:tc>
        <w:tc>
          <w:tcPr>
            <w:tcW w:w="1481" w:type="dxa"/>
            <w:vMerge w:val="continue"/>
            <w:tcBorders>
              <w:tl2br w:val="nil"/>
              <w:tr2bl w:val="nil"/>
            </w:tcBorders>
            <w:vAlign w:val="center"/>
          </w:tcPr>
          <w:p>
            <w:pPr>
              <w:widowControl/>
              <w:spacing w:line="560" w:lineRule="exact"/>
              <w:jc w:val="left"/>
              <w:rPr>
                <w:rFonts w:ascii="Times New Roman" w:hAnsi="Times New Roman" w:cs="Times New Roman"/>
                <w:kern w:val="0"/>
                <w:szCs w:val="21"/>
              </w:rPr>
            </w:pPr>
          </w:p>
        </w:tc>
        <w:tc>
          <w:tcPr>
            <w:tcW w:w="1459" w:type="dxa"/>
            <w:vMerge w:val="continue"/>
            <w:tcBorders>
              <w:tl2br w:val="nil"/>
              <w:tr2bl w:val="nil"/>
            </w:tcBorders>
            <w:vAlign w:val="center"/>
          </w:tcPr>
          <w:p>
            <w:pPr>
              <w:widowControl/>
              <w:spacing w:line="560" w:lineRule="exact"/>
              <w:jc w:val="lef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519" w:type="dxa"/>
            <w:gridSpan w:val="2"/>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栏次</w:t>
            </w:r>
          </w:p>
        </w:tc>
        <w:tc>
          <w:tcPr>
            <w:tcW w:w="179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5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867"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30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452"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481"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6</w:t>
            </w:r>
          </w:p>
        </w:tc>
        <w:tc>
          <w:tcPr>
            <w:tcW w:w="1459"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519" w:type="dxa"/>
            <w:gridSpan w:val="2"/>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合计</w:t>
            </w:r>
          </w:p>
        </w:tc>
        <w:tc>
          <w:tcPr>
            <w:tcW w:w="179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58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86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3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8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9"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w:t>
            </w:r>
          </w:p>
        </w:tc>
        <w:tc>
          <w:tcPr>
            <w:tcW w:w="226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hint="eastAsia" w:ascii="Times New Roman" w:hAnsi="Times New Roman" w:cs="Times New Roman"/>
                <w:kern w:val="0"/>
                <w:szCs w:val="21"/>
              </w:rPr>
              <w:t>一般公共服务支出</w:t>
            </w:r>
          </w:p>
        </w:tc>
        <w:tc>
          <w:tcPr>
            <w:tcW w:w="179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58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86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3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8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9"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20103</w:t>
            </w:r>
          </w:p>
        </w:tc>
        <w:tc>
          <w:tcPr>
            <w:tcW w:w="2266"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hint="eastAsia" w:ascii="Times New Roman" w:hAnsi="Times New Roman" w:cs="Times New Roman"/>
                <w:kern w:val="0"/>
                <w:szCs w:val="21"/>
              </w:rPr>
              <w:t>政府办公厅(室)及相关机构事务</w:t>
            </w:r>
          </w:p>
        </w:tc>
        <w:tc>
          <w:tcPr>
            <w:tcW w:w="179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58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86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3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8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9"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2010301</w:t>
            </w:r>
          </w:p>
        </w:tc>
        <w:tc>
          <w:tcPr>
            <w:tcW w:w="2266"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行政运行</w:t>
            </w:r>
          </w:p>
        </w:tc>
        <w:tc>
          <w:tcPr>
            <w:tcW w:w="179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58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86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3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8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9"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2010302</w:t>
            </w:r>
          </w:p>
        </w:tc>
        <w:tc>
          <w:tcPr>
            <w:tcW w:w="2266"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一般公共服务支出</w:t>
            </w:r>
          </w:p>
        </w:tc>
        <w:tc>
          <w:tcPr>
            <w:tcW w:w="179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58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86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3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8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459"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bl>
    <w:p>
      <w:pPr>
        <w:widowControl/>
        <w:spacing w:beforeLines="50" w:line="560" w:lineRule="exact"/>
        <w:jc w:val="left"/>
        <w:rPr>
          <w:rFonts w:ascii="Times New Roman" w:hAnsi="Times New Roman" w:eastAsia="黑体" w:cs="Times New Roman"/>
          <w:bCs/>
          <w:kern w:val="0"/>
          <w:sz w:val="32"/>
          <w:szCs w:val="32"/>
        </w:rPr>
      </w:pPr>
      <w:r>
        <w:rPr>
          <w:rFonts w:ascii="Times New Roman" w:hAnsi="Times New Roman" w:eastAsia="楷体_GB2312" w:cs="Times New Roman"/>
          <w:kern w:val="0"/>
          <w:sz w:val="24"/>
          <w:szCs w:val="24"/>
        </w:rPr>
        <w:t>注：本表反映部门本年度取得的各项收入情况。</w:t>
      </w:r>
      <w:r>
        <w:rPr>
          <w:rFonts w:ascii="Times New Roman" w:hAnsi="Times New Roman" w:eastAsia="黑体" w:cs="Times New Roman"/>
          <w:bCs/>
          <w:kern w:val="0"/>
          <w:sz w:val="32"/>
          <w:szCs w:val="32"/>
        </w:rPr>
        <w:br w:type="page"/>
      </w:r>
    </w:p>
    <w:p>
      <w:pPr>
        <w:pStyle w:val="14"/>
        <w:spacing w:beforeLines="50" w:afterLines="50" w:line="560" w:lineRule="exact"/>
        <w:jc w:val="center"/>
        <w:rPr>
          <w:rFonts w:hAnsi="黑体" w:cs="Times New Roman"/>
          <w:color w:val="auto"/>
          <w:sz w:val="44"/>
          <w:szCs w:val="44"/>
        </w:rPr>
      </w:pPr>
      <w:r>
        <w:rPr>
          <w:rFonts w:hAnsi="黑体" w:cs="Times New Roman"/>
          <w:color w:val="auto"/>
          <w:sz w:val="44"/>
          <w:szCs w:val="44"/>
        </w:rPr>
        <w:t>支出决算表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公开03表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788"/>
        <w:gridCol w:w="1807"/>
        <w:gridCol w:w="1704"/>
        <w:gridCol w:w="1535"/>
        <w:gridCol w:w="1704"/>
        <w:gridCol w:w="157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026"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180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本年支出合计</w:t>
            </w:r>
          </w:p>
        </w:tc>
        <w:tc>
          <w:tcPr>
            <w:tcW w:w="170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基本支出</w:t>
            </w:r>
          </w:p>
        </w:tc>
        <w:tc>
          <w:tcPr>
            <w:tcW w:w="1535"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黑体" w:cs="Times New Roman"/>
                <w:kern w:val="0"/>
                <w:szCs w:val="21"/>
              </w:rPr>
            </w:pPr>
            <w:r>
              <w:rPr>
                <w:rFonts w:ascii="Times New Roman" w:hAnsi="Times New Roman" w:eastAsia="黑体" w:cs="Times New Roman"/>
                <w:kern w:val="0"/>
                <w:szCs w:val="21"/>
              </w:rPr>
              <w:t>项目支出</w:t>
            </w:r>
          </w:p>
        </w:tc>
        <w:tc>
          <w:tcPr>
            <w:tcW w:w="1704"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上缴上级支出</w:t>
            </w:r>
          </w:p>
        </w:tc>
        <w:tc>
          <w:tcPr>
            <w:tcW w:w="157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经营支出</w:t>
            </w:r>
          </w:p>
        </w:tc>
        <w:tc>
          <w:tcPr>
            <w:tcW w:w="2111"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s="Times New Roman"/>
                <w:kern w:val="0"/>
                <w:szCs w:val="21"/>
              </w:rPr>
            </w:pPr>
            <w:r>
              <w:rPr>
                <w:rFonts w:ascii="Times New Roman" w:hAnsi="Times New Roman" w:eastAsia="黑体" w:cs="Times New Roman"/>
                <w:kern w:val="0"/>
                <w:szCs w:val="21"/>
              </w:rPr>
              <w:t>功能分类科目编码</w:t>
            </w:r>
          </w:p>
        </w:tc>
        <w:tc>
          <w:tcPr>
            <w:tcW w:w="278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s="Times New Roman"/>
                <w:kern w:val="0"/>
                <w:szCs w:val="21"/>
              </w:rPr>
            </w:pPr>
            <w:r>
              <w:rPr>
                <w:rFonts w:ascii="Times New Roman" w:hAnsi="Times New Roman" w:eastAsia="黑体" w:cs="Times New Roman"/>
                <w:kern w:val="0"/>
                <w:szCs w:val="21"/>
              </w:rPr>
              <w:t>科目名称</w:t>
            </w:r>
          </w:p>
        </w:tc>
        <w:tc>
          <w:tcPr>
            <w:tcW w:w="180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Times New Roman"/>
                <w:kern w:val="0"/>
                <w:szCs w:val="21"/>
              </w:rPr>
            </w:pPr>
          </w:p>
        </w:tc>
        <w:tc>
          <w:tcPr>
            <w:tcW w:w="17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Times New Roman"/>
                <w:kern w:val="0"/>
                <w:szCs w:val="21"/>
              </w:rPr>
            </w:pPr>
          </w:p>
        </w:tc>
        <w:tc>
          <w:tcPr>
            <w:tcW w:w="153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Times New Roman"/>
                <w:kern w:val="0"/>
                <w:szCs w:val="21"/>
              </w:rPr>
            </w:pPr>
          </w:p>
        </w:tc>
        <w:tc>
          <w:tcPr>
            <w:tcW w:w="1704" w:type="dxa"/>
            <w:vMerge w:val="continue"/>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p>
        </w:tc>
        <w:tc>
          <w:tcPr>
            <w:tcW w:w="1570" w:type="dxa"/>
            <w:vMerge w:val="continue"/>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p>
        </w:tc>
        <w:tc>
          <w:tcPr>
            <w:tcW w:w="2111" w:type="dxa"/>
            <w:vMerge w:val="continue"/>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026" w:type="dxa"/>
            <w:gridSpan w:val="2"/>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栏次</w:t>
            </w:r>
          </w:p>
        </w:tc>
        <w:tc>
          <w:tcPr>
            <w:tcW w:w="1807"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70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53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70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57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2111"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026" w:type="dxa"/>
            <w:gridSpan w:val="2"/>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合计</w:t>
            </w:r>
          </w:p>
        </w:tc>
        <w:tc>
          <w:tcPr>
            <w:tcW w:w="180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53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57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211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3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w:t>
            </w:r>
          </w:p>
        </w:tc>
        <w:tc>
          <w:tcPr>
            <w:tcW w:w="278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hint="eastAsia" w:ascii="Times New Roman" w:hAnsi="Times New Roman" w:cs="Times New Roman"/>
                <w:kern w:val="0"/>
                <w:szCs w:val="21"/>
              </w:rPr>
              <w:t>一般公共服务支出</w:t>
            </w:r>
          </w:p>
        </w:tc>
        <w:tc>
          <w:tcPr>
            <w:tcW w:w="180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53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57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211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3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20103</w:t>
            </w:r>
          </w:p>
        </w:tc>
        <w:tc>
          <w:tcPr>
            <w:tcW w:w="278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hint="eastAsia" w:ascii="Times New Roman" w:hAnsi="Times New Roman" w:cs="Times New Roman"/>
                <w:kern w:val="0"/>
                <w:szCs w:val="21"/>
              </w:rPr>
              <w:t>政府办公厅(室)及相关机构事务</w:t>
            </w:r>
          </w:p>
        </w:tc>
        <w:tc>
          <w:tcPr>
            <w:tcW w:w="180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53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57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211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3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2010301</w:t>
            </w:r>
          </w:p>
        </w:tc>
        <w:tc>
          <w:tcPr>
            <w:tcW w:w="278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行政运行</w:t>
            </w:r>
          </w:p>
        </w:tc>
        <w:tc>
          <w:tcPr>
            <w:tcW w:w="180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153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57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211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3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2010302</w:t>
            </w:r>
          </w:p>
        </w:tc>
        <w:tc>
          <w:tcPr>
            <w:tcW w:w="2788"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一般行政管理事务</w:t>
            </w:r>
          </w:p>
        </w:tc>
        <w:tc>
          <w:tcPr>
            <w:tcW w:w="1807"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w:t>
            </w:r>
            <w:r>
              <w:rPr>
                <w:rFonts w:ascii="Times New Roman" w:hAnsi="Times New Roman" w:cs="Times New Roman"/>
                <w:kern w:val="0"/>
                <w:szCs w:val="21"/>
              </w:rPr>
              <w:t>　</w:t>
            </w:r>
          </w:p>
        </w:tc>
        <w:tc>
          <w:tcPr>
            <w:tcW w:w="153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7.88</w:t>
            </w:r>
            <w:r>
              <w:rPr>
                <w:rFonts w:ascii="Times New Roman" w:hAnsi="Times New Roman" w:cs="Times New Roman"/>
                <w:kern w:val="0"/>
                <w:szCs w:val="21"/>
              </w:rPr>
              <w:t>　</w:t>
            </w:r>
          </w:p>
        </w:tc>
        <w:tc>
          <w:tcPr>
            <w:tcW w:w="1704"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57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2111"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bl>
    <w:p>
      <w:pPr>
        <w:widowControl/>
        <w:spacing w:beforeLines="50" w:line="560" w:lineRule="exact"/>
        <w:jc w:val="left"/>
        <w:rPr>
          <w:rFonts w:ascii="Times New Roman" w:hAnsi="Times New Roman" w:eastAsia="仿宋_GB2312" w:cs="Times New Roman"/>
          <w:bCs/>
          <w:kern w:val="0"/>
          <w:szCs w:val="21"/>
        </w:rPr>
      </w:pPr>
      <w:r>
        <w:rPr>
          <w:rFonts w:ascii="Times New Roman" w:hAnsi="Times New Roman" w:eastAsia="楷体_GB2312" w:cs="Times New Roman"/>
          <w:kern w:val="0"/>
          <w:sz w:val="24"/>
          <w:szCs w:val="24"/>
        </w:rPr>
        <w:t>注：本表反映部门本年度各项支出情况。</w:t>
      </w:r>
      <w:r>
        <w:rPr>
          <w:rFonts w:ascii="Times New Roman" w:hAnsi="Times New Roman" w:eastAsia="仿宋_GB2312" w:cs="Times New Roman"/>
          <w:bCs/>
          <w:kern w:val="0"/>
          <w:szCs w:val="21"/>
        </w:rPr>
        <w:br w:type="page"/>
      </w:r>
    </w:p>
    <w:p>
      <w:pPr>
        <w:pStyle w:val="14"/>
        <w:spacing w:beforeLines="50" w:afterLines="50" w:line="560" w:lineRule="exact"/>
        <w:jc w:val="center"/>
        <w:rPr>
          <w:rFonts w:hAnsi="黑体" w:cs="Times New Roman"/>
          <w:color w:val="auto"/>
          <w:sz w:val="44"/>
          <w:szCs w:val="44"/>
        </w:rPr>
      </w:pPr>
      <w:r>
        <w:rPr>
          <w:rFonts w:hAnsi="黑体" w:cs="Times New Roman"/>
          <w:color w:val="auto"/>
          <w:sz w:val="44"/>
          <w:szCs w:val="44"/>
        </w:rPr>
        <w:t>财政拨款收入支出决算总表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公开04表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354" w:type="dxa"/>
            <w:gridSpan w:val="3"/>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收入</w:t>
            </w:r>
          </w:p>
        </w:tc>
        <w:tc>
          <w:tcPr>
            <w:tcW w:w="9303" w:type="dxa"/>
            <w:gridSpan w:val="5"/>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项    目</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行次</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金额</w:t>
            </w:r>
          </w:p>
        </w:tc>
        <w:tc>
          <w:tcPr>
            <w:tcW w:w="3761" w:type="dxa"/>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项    目</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行次</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合计</w:t>
            </w:r>
          </w:p>
        </w:tc>
        <w:tc>
          <w:tcPr>
            <w:tcW w:w="1660"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一般公共预算财政拨款</w:t>
            </w:r>
          </w:p>
        </w:tc>
        <w:tc>
          <w:tcPr>
            <w:tcW w:w="1572"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    次</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3761"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    次</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572"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一、一般公共预算财政拨款</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一、一般公共服务支出</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15</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1,151.29</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二、政府性基金预算财政拨款</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二、外交支出</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 xml:space="preserve">   0.00</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三、国防支出</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17</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 xml:space="preserve">   0.00</w:t>
            </w: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四、公共安全支出</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18</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 xml:space="preserve">   0.00</w:t>
            </w: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五、教育支出</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19</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6</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六、科学技术支出</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20</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7</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七、…</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21</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8</w:t>
            </w:r>
          </w:p>
        </w:tc>
        <w:tc>
          <w:tcPr>
            <w:tcW w:w="1880"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22</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本年收入合计</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9</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本年支出合计</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23</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1,151.29</w:t>
            </w:r>
          </w:p>
        </w:tc>
        <w:tc>
          <w:tcPr>
            <w:tcW w:w="1572" w:type="dxa"/>
            <w:tcBorders>
              <w:tl2br w:val="nil"/>
              <w:tr2bl w:val="nil"/>
            </w:tcBorders>
            <w:shd w:val="clear" w:color="auto" w:fill="auto"/>
            <w:noWrap/>
            <w:vAlign w:val="center"/>
          </w:tcPr>
          <w:p>
            <w:pPr>
              <w:widowControl/>
              <w:spacing w:line="560" w:lineRule="exact"/>
              <w:jc w:val="left"/>
              <w:rPr>
                <w:rFonts w:ascii="Times New Roman" w:hAnsi="Times New Roman" w:cs="Times New Roman"/>
                <w:b/>
                <w:bCs/>
                <w:kern w:val="0"/>
                <w:szCs w:val="21"/>
              </w:rPr>
            </w:pPr>
            <w:r>
              <w:rPr>
                <w:rFonts w:ascii="Times New Roman" w:hAnsi="Times New Roman" w:cs="Times New Roman"/>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年初财政拨款结转和结余</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年末财政拨款结转和结余</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 xml:space="preserve">  0.00</w:t>
            </w:r>
          </w:p>
        </w:tc>
        <w:tc>
          <w:tcPr>
            <w:tcW w:w="1572"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一、一般公共预算财政拨款</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11</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25</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二、政府性基金预算财政拨款</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12</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26</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13</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27</w:t>
            </w:r>
          </w:p>
        </w:tc>
        <w:tc>
          <w:tcPr>
            <w:tcW w:w="18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572" w:type="dxa"/>
            <w:tcBorders>
              <w:tl2br w:val="nil"/>
              <w:tr2bl w:val="nil"/>
            </w:tcBorders>
            <w:shd w:val="clear" w:color="auto" w:fill="auto"/>
            <w:noWrap/>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总计</w:t>
            </w:r>
          </w:p>
        </w:tc>
        <w:tc>
          <w:tcPr>
            <w:tcW w:w="48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14</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3761" w:type="dxa"/>
            <w:tcBorders>
              <w:tl2br w:val="nil"/>
              <w:tr2bl w:val="nil"/>
            </w:tcBorders>
            <w:shd w:val="clear" w:color="auto" w:fill="auto"/>
            <w:noWrap/>
            <w:vAlign w:val="center"/>
          </w:tcPr>
          <w:p>
            <w:pPr>
              <w:widowControl/>
              <w:spacing w:line="560" w:lineRule="exact"/>
              <w:jc w:val="center"/>
              <w:rPr>
                <w:rFonts w:ascii="Times New Roman" w:hAnsi="Times New Roman" w:cs="Times New Roman"/>
                <w:b/>
                <w:bCs/>
                <w:kern w:val="0"/>
                <w:szCs w:val="21"/>
              </w:rPr>
            </w:pPr>
            <w:r>
              <w:rPr>
                <w:rFonts w:ascii="Times New Roman" w:hAnsi="Times New Roman" w:cs="Times New Roman"/>
                <w:b/>
                <w:bCs/>
                <w:kern w:val="0"/>
                <w:szCs w:val="21"/>
              </w:rPr>
              <w:t>总计</w:t>
            </w:r>
          </w:p>
        </w:tc>
        <w:tc>
          <w:tcPr>
            <w:tcW w:w="430"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28</w:t>
            </w:r>
          </w:p>
        </w:tc>
        <w:tc>
          <w:tcPr>
            <w:tcW w:w="188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1660"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1,151.29</w:t>
            </w:r>
          </w:p>
        </w:tc>
        <w:tc>
          <w:tcPr>
            <w:tcW w:w="1572" w:type="dxa"/>
            <w:tcBorders>
              <w:tl2br w:val="nil"/>
              <w:tr2bl w:val="nil"/>
            </w:tcBorders>
            <w:shd w:val="clear" w:color="auto" w:fill="auto"/>
            <w:noWrap/>
            <w:vAlign w:val="center"/>
          </w:tcPr>
          <w:p>
            <w:pPr>
              <w:widowControl/>
              <w:spacing w:line="560" w:lineRule="exact"/>
              <w:jc w:val="left"/>
              <w:rPr>
                <w:rFonts w:ascii="Times New Roman" w:hAnsi="Times New Roman" w:cs="Times New Roman"/>
                <w:b/>
                <w:bCs/>
                <w:kern w:val="0"/>
                <w:szCs w:val="21"/>
              </w:rPr>
            </w:pPr>
            <w:r>
              <w:rPr>
                <w:rFonts w:ascii="Times New Roman" w:hAnsi="Times New Roman" w:cs="Times New Roman"/>
                <w:b/>
                <w:bCs/>
                <w:kern w:val="0"/>
                <w:szCs w:val="21"/>
              </w:rPr>
              <w:t>　</w:t>
            </w:r>
          </w:p>
        </w:tc>
      </w:tr>
    </w:tbl>
    <w:p>
      <w:pPr>
        <w:widowControl/>
        <w:spacing w:beforeLines="50" w:line="560" w:lineRule="exact"/>
        <w:jc w:val="left"/>
        <w:rPr>
          <w:rFonts w:ascii="Times New Roman" w:hAnsi="Times New Roman" w:eastAsia="仿宋_GB2312" w:cs="Times New Roman"/>
          <w:kern w:val="0"/>
          <w:szCs w:val="21"/>
        </w:rPr>
      </w:pPr>
      <w:r>
        <w:rPr>
          <w:rFonts w:ascii="Times New Roman" w:hAnsi="Times New Roman" w:eastAsia="楷体_GB2312" w:cs="Times New Roman"/>
          <w:kern w:val="0"/>
          <w:sz w:val="24"/>
          <w:szCs w:val="24"/>
        </w:rPr>
        <w:t>注：本表反映部门本年度一般公共预算财政拨款和政府性基金预算财政拨款的总收支和年末结转结余情况。</w:t>
      </w:r>
      <w:r>
        <w:rPr>
          <w:rFonts w:ascii="Times New Roman" w:hAnsi="Times New Roman" w:eastAsia="仿宋_GB2312" w:cs="Times New Roman"/>
          <w:kern w:val="0"/>
          <w:szCs w:val="21"/>
        </w:rPr>
        <w:br w:type="page"/>
      </w:r>
    </w:p>
    <w:p>
      <w:pPr>
        <w:pStyle w:val="14"/>
        <w:spacing w:beforeLines="50" w:afterLines="50" w:line="560" w:lineRule="exact"/>
        <w:jc w:val="center"/>
        <w:rPr>
          <w:rFonts w:hAnsi="黑体" w:cs="Times New Roman"/>
          <w:color w:val="auto"/>
          <w:sz w:val="44"/>
          <w:szCs w:val="44"/>
        </w:rPr>
      </w:pPr>
      <w:bookmarkStart w:id="0" w:name="RANGE!A1:F16"/>
      <w:r>
        <w:rPr>
          <w:rFonts w:hAnsi="黑体" w:cs="Times New Roman"/>
          <w:color w:val="auto"/>
          <w:sz w:val="44"/>
          <w:szCs w:val="44"/>
        </w:rPr>
        <w:t>一般公共预算财政拨款支出决算表</w:t>
      </w:r>
      <w:bookmarkEnd w:id="0"/>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公开05表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3586"/>
        <w:gridCol w:w="3050"/>
        <w:gridCol w:w="355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项    目</w:t>
            </w:r>
          </w:p>
        </w:tc>
        <w:tc>
          <w:tcPr>
            <w:tcW w:w="9651" w:type="dxa"/>
            <w:gridSpan w:val="3"/>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功能分类科目编码</w:t>
            </w:r>
          </w:p>
        </w:tc>
        <w:tc>
          <w:tcPr>
            <w:tcW w:w="3586"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科目名称</w:t>
            </w:r>
          </w:p>
        </w:tc>
        <w:tc>
          <w:tcPr>
            <w:tcW w:w="3050"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小计</w:t>
            </w:r>
          </w:p>
        </w:tc>
        <w:tc>
          <w:tcPr>
            <w:tcW w:w="3550"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基本支出</w:t>
            </w:r>
          </w:p>
        </w:tc>
        <w:tc>
          <w:tcPr>
            <w:tcW w:w="3051"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栏次</w:t>
            </w:r>
          </w:p>
        </w:tc>
        <w:tc>
          <w:tcPr>
            <w:tcW w:w="305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355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3051"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合计</w:t>
            </w:r>
          </w:p>
        </w:tc>
        <w:tc>
          <w:tcPr>
            <w:tcW w:w="30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35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3051"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201</w:t>
            </w:r>
          </w:p>
        </w:tc>
        <w:tc>
          <w:tcPr>
            <w:tcW w:w="3586"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hint="eastAsia" w:ascii="Times New Roman" w:hAnsi="Times New Roman" w:cs="Times New Roman"/>
                <w:kern w:val="0"/>
                <w:szCs w:val="21"/>
              </w:rPr>
              <w:t>一般公共服务支出</w:t>
            </w:r>
          </w:p>
        </w:tc>
        <w:tc>
          <w:tcPr>
            <w:tcW w:w="30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35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3051"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20103</w:t>
            </w:r>
          </w:p>
        </w:tc>
        <w:tc>
          <w:tcPr>
            <w:tcW w:w="3586"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hint="eastAsia" w:ascii="Times New Roman" w:hAnsi="Times New Roman" w:cs="Times New Roman"/>
                <w:kern w:val="0"/>
                <w:szCs w:val="21"/>
              </w:rPr>
              <w:t>政府办公厅(室)及相关机构事务</w:t>
            </w:r>
          </w:p>
        </w:tc>
        <w:tc>
          <w:tcPr>
            <w:tcW w:w="30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1,151.29</w:t>
            </w:r>
            <w:r>
              <w:rPr>
                <w:rFonts w:ascii="Times New Roman" w:hAnsi="Times New Roman" w:cs="Times New Roman"/>
                <w:kern w:val="0"/>
                <w:szCs w:val="21"/>
              </w:rPr>
              <w:t>　</w:t>
            </w:r>
          </w:p>
        </w:tc>
        <w:tc>
          <w:tcPr>
            <w:tcW w:w="35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1,143.41</w:t>
            </w:r>
            <w:r>
              <w:rPr>
                <w:rFonts w:ascii="Times New Roman" w:hAnsi="Times New Roman" w:cs="Times New Roman"/>
                <w:kern w:val="0"/>
                <w:szCs w:val="21"/>
              </w:rPr>
              <w:t>　</w:t>
            </w:r>
          </w:p>
        </w:tc>
        <w:tc>
          <w:tcPr>
            <w:tcW w:w="3051"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2010301</w:t>
            </w:r>
          </w:p>
        </w:tc>
        <w:tc>
          <w:tcPr>
            <w:tcW w:w="3586"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行政运行</w:t>
            </w:r>
          </w:p>
        </w:tc>
        <w:tc>
          <w:tcPr>
            <w:tcW w:w="30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1,143.41</w:t>
            </w:r>
          </w:p>
        </w:tc>
        <w:tc>
          <w:tcPr>
            <w:tcW w:w="35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1,143.41</w:t>
            </w:r>
          </w:p>
        </w:tc>
        <w:tc>
          <w:tcPr>
            <w:tcW w:w="3051"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2010302</w:t>
            </w:r>
          </w:p>
        </w:tc>
        <w:tc>
          <w:tcPr>
            <w:tcW w:w="3586"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一般行政管理事务</w:t>
            </w:r>
          </w:p>
        </w:tc>
        <w:tc>
          <w:tcPr>
            <w:tcW w:w="30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7.88</w:t>
            </w:r>
          </w:p>
        </w:tc>
        <w:tc>
          <w:tcPr>
            <w:tcW w:w="3550"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0.00</w:t>
            </w:r>
          </w:p>
        </w:tc>
        <w:tc>
          <w:tcPr>
            <w:tcW w:w="3051"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7.88</w:t>
            </w:r>
          </w:p>
        </w:tc>
      </w:tr>
    </w:tbl>
    <w:p>
      <w:pPr>
        <w:widowControl/>
        <w:spacing w:beforeLines="50"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注：本表反映部门本年度一般公共预算财政拨款支出情况。</w:t>
      </w:r>
      <w:r>
        <w:rPr>
          <w:rFonts w:ascii="Times New Roman" w:hAnsi="Times New Roman" w:eastAsia="楷体_GB2312" w:cs="Times New Roman"/>
          <w:kern w:val="0"/>
          <w:sz w:val="24"/>
          <w:szCs w:val="24"/>
        </w:rPr>
        <w:br w:type="page"/>
      </w:r>
    </w:p>
    <w:p>
      <w:pPr>
        <w:pStyle w:val="14"/>
        <w:spacing w:beforeLines="50" w:afterLines="50" w:line="560" w:lineRule="exact"/>
        <w:jc w:val="center"/>
        <w:rPr>
          <w:rFonts w:hAnsi="黑体" w:cs="Times New Roman"/>
          <w:color w:val="auto"/>
          <w:sz w:val="44"/>
          <w:szCs w:val="44"/>
        </w:rPr>
      </w:pPr>
      <w:bookmarkStart w:id="1" w:name="RANGE!A1:I39"/>
      <w:r>
        <w:rPr>
          <w:rFonts w:hAnsi="黑体" w:cs="Times New Roman"/>
          <w:color w:val="auto"/>
          <w:sz w:val="44"/>
          <w:szCs w:val="44"/>
        </w:rPr>
        <w:t>一般公共预算财政拨款基本支出决算表</w:t>
      </w:r>
      <w:bookmarkEnd w:id="1"/>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公开06表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54"/>
        <w:gridCol w:w="2445"/>
        <w:gridCol w:w="1425"/>
        <w:gridCol w:w="1185"/>
        <w:gridCol w:w="2326"/>
        <w:gridCol w:w="1333"/>
        <w:gridCol w:w="1126"/>
        <w:gridCol w:w="2371"/>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tblHeader/>
          <w:jc w:val="center"/>
        </w:trPr>
        <w:tc>
          <w:tcPr>
            <w:tcW w:w="1054"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经济分类科目编码</w:t>
            </w:r>
          </w:p>
        </w:tc>
        <w:tc>
          <w:tcPr>
            <w:tcW w:w="2445"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科目名称</w:t>
            </w:r>
          </w:p>
        </w:tc>
        <w:tc>
          <w:tcPr>
            <w:tcW w:w="1425"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c>
          <w:tcPr>
            <w:tcW w:w="1185"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经济分类科目编码</w:t>
            </w:r>
          </w:p>
        </w:tc>
        <w:tc>
          <w:tcPr>
            <w:tcW w:w="2326"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科目名称</w:t>
            </w:r>
          </w:p>
        </w:tc>
        <w:tc>
          <w:tcPr>
            <w:tcW w:w="1333"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c>
          <w:tcPr>
            <w:tcW w:w="1126"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经济分类科目编码</w:t>
            </w:r>
          </w:p>
        </w:tc>
        <w:tc>
          <w:tcPr>
            <w:tcW w:w="2371"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科目名称</w:t>
            </w:r>
          </w:p>
        </w:tc>
        <w:tc>
          <w:tcPr>
            <w:tcW w:w="1192"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工资福利支出</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1,044.99</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商品和服务支出</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83.03</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307</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债务利息及费用支出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30101</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基本工资</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67.23</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30201</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办公费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7.80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30701</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国内债务付息</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30102</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津贴补贴</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169.65</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30202</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印刷费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1.44</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30702</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国外债务付息</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30103</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奖金</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238.19</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30203</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咨询费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13.96</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资本性支出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30106</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伙食补助费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15.98</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30204</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手续费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31001</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房屋建筑物购建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30107</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绩效工资</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64.26</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30205</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水费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2.34</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31002</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办公设备购置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30108</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 w:val="15"/>
                <w:szCs w:val="15"/>
              </w:rPr>
              <w:t>机关事业单位基本养老保险费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36.30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30206</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电费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31003</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专用设备购置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30109</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职业年金缴费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12.10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30207</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邮电费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0.73</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31005</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基础设施建设</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30110</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职工基本医疗保险缴费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32.39</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30208</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取暖费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31006</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大型修缮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30111</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公务员医疗补助缴费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10.59</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30209</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物业管理费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31007</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 w:val="18"/>
                <w:szCs w:val="18"/>
              </w:rPr>
              <w:t>信息网络及软件购置更新</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30112</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其他社会保障缴费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2.50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30211</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差旅费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0.25</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31008</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物资储备</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30113</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住房公积金</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82.42</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30212</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因公出国（境）费用</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31009</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土地补偿</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30114</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医疗费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1.79</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30213</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维修（护）费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0.54</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31010</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安置补助</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30199</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其他工资福利支出</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311.59</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30214</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租赁费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31011</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 w:val="18"/>
                <w:szCs w:val="18"/>
              </w:rPr>
              <w:t>地上附着物和青苗补偿</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对个人和家庭的补助</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11.53</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30215</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会议费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0.00</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31012</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拆迁补偿</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30301</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离休费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30216</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培训费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0.74</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31013</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公务用车购置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30302</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退休费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11.53</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30217</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公务接待费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31019</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其他交通工具购置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30303</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退职（役）费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30218</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专用材料费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31021</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文物和陈列品购置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30304</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抚恤金</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30224</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被装购置费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31022</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无形资产购置</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30305</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生活补助</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30225</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专用燃料费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31099</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其他资本性支出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30306</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救济费</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30226</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劳务费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1.45</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399</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其他支出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30307</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医疗费补助</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30227</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委托业务费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39906</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赠与</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30308</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助学金</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30228</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工会经费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7.42</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39907</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国家赔偿费用支出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30309</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奖励金</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30229</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福利费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39908</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对民间非营利组织和群众性自治组织补贴</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30310</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个人农业生产补贴</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30231</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公务用车运行维护费</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4.18</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39999</w:t>
            </w: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其他支出</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30399</w:t>
            </w: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对其他个人和家庭的补助支出</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30239</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其他交通费用</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23.18</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2445"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30240</w:t>
            </w:r>
          </w:p>
        </w:tc>
        <w:tc>
          <w:tcPr>
            <w:tcW w:w="2326"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xml:space="preserve">  税金及附加费用</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2371" w:type="dxa"/>
            <w:tcBorders>
              <w:tl2br w:val="nil"/>
              <w:tr2bl w:val="nil"/>
            </w:tcBorders>
            <w:shd w:val="clear" w:color="auto" w:fill="auto"/>
            <w:noWrap/>
            <w:vAlign w:val="center"/>
          </w:tcPr>
          <w:p>
            <w:pPr>
              <w:widowControl/>
              <w:spacing w:line="560" w:lineRule="exact"/>
              <w:rPr>
                <w:rFonts w:ascii="Times New Roman" w:hAnsi="Times New Roman" w:cs="Times New Roman"/>
                <w:kern w:val="0"/>
                <w:szCs w:val="21"/>
              </w:rPr>
            </w:pPr>
            <w:r>
              <w:rPr>
                <w:rFonts w:ascii="Times New Roman" w:hAnsi="Times New Roman" w:cs="Times New Roman"/>
                <w:kern w:val="0"/>
                <w:szCs w:val="21"/>
              </w:rPr>
              <w:t>　</w:t>
            </w: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244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p>
        </w:tc>
        <w:tc>
          <w:tcPr>
            <w:tcW w:w="1185"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30299</w:t>
            </w:r>
          </w:p>
        </w:tc>
        <w:tc>
          <w:tcPr>
            <w:tcW w:w="23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其他商品和服务支出</w:t>
            </w:r>
          </w:p>
        </w:tc>
        <w:tc>
          <w:tcPr>
            <w:tcW w:w="1333"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19.00</w:t>
            </w:r>
          </w:p>
        </w:tc>
        <w:tc>
          <w:tcPr>
            <w:tcW w:w="1126"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2371" w:type="dxa"/>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p>
        </w:tc>
        <w:tc>
          <w:tcPr>
            <w:tcW w:w="1192"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3499" w:type="dxa"/>
            <w:gridSpan w:val="2"/>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人员经费合计</w:t>
            </w:r>
          </w:p>
        </w:tc>
        <w:tc>
          <w:tcPr>
            <w:tcW w:w="1425" w:type="dxa"/>
            <w:tcBorders>
              <w:tl2br w:val="nil"/>
              <w:tr2bl w:val="nil"/>
            </w:tcBorders>
            <w:shd w:val="clear" w:color="auto" w:fill="auto"/>
            <w:noWrap/>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1,056.53</w:t>
            </w:r>
          </w:p>
        </w:tc>
        <w:tc>
          <w:tcPr>
            <w:tcW w:w="8341" w:type="dxa"/>
            <w:gridSpan w:val="5"/>
            <w:tcBorders>
              <w:tl2br w:val="nil"/>
              <w:tr2bl w:val="nil"/>
            </w:tcBorders>
            <w:shd w:val="clear" w:color="auto" w:fill="auto"/>
            <w:noWrap/>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公用经费合计</w:t>
            </w:r>
          </w:p>
        </w:tc>
        <w:tc>
          <w:tcPr>
            <w:tcW w:w="1192" w:type="dxa"/>
            <w:tcBorders>
              <w:tl2br w:val="nil"/>
              <w:tr2bl w:val="nil"/>
            </w:tcBorders>
            <w:shd w:val="clear" w:color="auto" w:fill="auto"/>
            <w:vAlign w:val="center"/>
          </w:tcPr>
          <w:p>
            <w:pPr>
              <w:widowControl/>
              <w:spacing w:line="560" w:lineRule="exact"/>
              <w:jc w:val="right"/>
              <w:rPr>
                <w:rFonts w:ascii="Times New Roman" w:hAnsi="Times New Roman" w:cs="Times New Roman"/>
                <w:kern w:val="0"/>
                <w:szCs w:val="21"/>
              </w:rPr>
            </w:pPr>
            <w:r>
              <w:rPr>
                <w:rFonts w:hint="eastAsia" w:ascii="Times New Roman" w:hAnsi="Times New Roman" w:cs="Times New Roman"/>
                <w:kern w:val="0"/>
                <w:szCs w:val="21"/>
              </w:rPr>
              <w:t>86.88</w:t>
            </w:r>
          </w:p>
        </w:tc>
      </w:tr>
    </w:tbl>
    <w:p>
      <w:pPr>
        <w:widowControl/>
        <w:spacing w:beforeLines="50" w:line="560" w:lineRule="exact"/>
        <w:jc w:val="left"/>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注：本表反映部门年度一般公共预算财政拨款基本支出明细情况。</w:t>
      </w:r>
      <w:r>
        <w:rPr>
          <w:rFonts w:ascii="Times New Roman" w:hAnsi="Times New Roman" w:eastAsia="楷体_GB2312" w:cs="Times New Roman"/>
          <w:kern w:val="0"/>
          <w:sz w:val="24"/>
          <w:szCs w:val="24"/>
        </w:rPr>
        <w:br w:type="page"/>
      </w:r>
    </w:p>
    <w:p>
      <w:pPr>
        <w:pStyle w:val="14"/>
        <w:spacing w:beforeLines="50" w:afterLines="50" w:line="560" w:lineRule="exact"/>
        <w:jc w:val="center"/>
        <w:rPr>
          <w:rFonts w:hAnsi="黑体" w:cs="Times New Roman"/>
          <w:color w:val="auto"/>
          <w:sz w:val="44"/>
          <w:szCs w:val="44"/>
        </w:rPr>
      </w:pPr>
      <w:r>
        <w:rPr>
          <w:rFonts w:hAnsi="黑体" w:cs="Times New Roman"/>
          <w:color w:val="auto"/>
          <w:sz w:val="44"/>
          <w:szCs w:val="44"/>
        </w:rPr>
        <w:t>一般公共预算财政拨款“三公”经费支出决算表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公开07表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1210"/>
        <w:gridCol w:w="1205"/>
        <w:gridCol w:w="1203"/>
        <w:gridCol w:w="1205"/>
        <w:gridCol w:w="1205"/>
        <w:gridCol w:w="1203"/>
        <w:gridCol w:w="1210"/>
        <w:gridCol w:w="1203"/>
        <w:gridCol w:w="1203"/>
        <w:gridCol w:w="120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20" w:type="dxa"/>
            <w:gridSpan w:val="6"/>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预算数</w:t>
            </w:r>
          </w:p>
        </w:tc>
        <w:tc>
          <w:tcPr>
            <w:tcW w:w="7320" w:type="dxa"/>
            <w:gridSpan w:val="6"/>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合计</w:t>
            </w:r>
          </w:p>
        </w:tc>
        <w:tc>
          <w:tcPr>
            <w:tcW w:w="122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因公出国（境）费</w:t>
            </w:r>
          </w:p>
        </w:tc>
        <w:tc>
          <w:tcPr>
            <w:tcW w:w="3660" w:type="dxa"/>
            <w:gridSpan w:val="3"/>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公务用车购置及运行费</w:t>
            </w:r>
          </w:p>
        </w:tc>
        <w:tc>
          <w:tcPr>
            <w:tcW w:w="122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公务</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接待费</w:t>
            </w:r>
          </w:p>
        </w:tc>
        <w:tc>
          <w:tcPr>
            <w:tcW w:w="122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合计</w:t>
            </w:r>
          </w:p>
        </w:tc>
        <w:tc>
          <w:tcPr>
            <w:tcW w:w="122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因公出国（境）费</w:t>
            </w:r>
          </w:p>
        </w:tc>
        <w:tc>
          <w:tcPr>
            <w:tcW w:w="3660" w:type="dxa"/>
            <w:gridSpan w:val="3"/>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公务用车购置及运行费</w:t>
            </w:r>
          </w:p>
        </w:tc>
        <w:tc>
          <w:tcPr>
            <w:tcW w:w="1220"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公务</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continue"/>
            <w:tcBorders>
              <w:tl2br w:val="nil"/>
              <w:tr2bl w:val="nil"/>
            </w:tcBorders>
            <w:vAlign w:val="center"/>
          </w:tcPr>
          <w:p>
            <w:pPr>
              <w:widowControl/>
              <w:spacing w:line="560" w:lineRule="exact"/>
              <w:jc w:val="left"/>
              <w:rPr>
                <w:rFonts w:ascii="Times New Roman" w:hAnsi="Times New Roman" w:eastAsia="黑体" w:cs="Times New Roman"/>
                <w:kern w:val="0"/>
                <w:szCs w:val="21"/>
              </w:rPr>
            </w:pPr>
          </w:p>
        </w:tc>
        <w:tc>
          <w:tcPr>
            <w:tcW w:w="1220" w:type="dxa"/>
            <w:vMerge w:val="continue"/>
            <w:tcBorders>
              <w:tl2br w:val="nil"/>
              <w:tr2bl w:val="nil"/>
            </w:tcBorders>
            <w:vAlign w:val="center"/>
          </w:tcPr>
          <w:p>
            <w:pPr>
              <w:widowControl/>
              <w:spacing w:line="560" w:lineRule="exact"/>
              <w:jc w:val="left"/>
              <w:rPr>
                <w:rFonts w:ascii="Times New Roman" w:hAnsi="Times New Roman" w:eastAsia="黑体" w:cs="Times New Roman"/>
                <w:kern w:val="0"/>
                <w:szCs w:val="21"/>
              </w:rPr>
            </w:pP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小计</w:t>
            </w:r>
          </w:p>
        </w:tc>
        <w:tc>
          <w:tcPr>
            <w:tcW w:w="1220" w:type="dxa"/>
            <w:tcBorders>
              <w:tl2br w:val="nil"/>
              <w:tr2bl w:val="nil"/>
            </w:tcBorders>
            <w:shd w:val="clear" w:color="auto" w:fill="auto"/>
            <w:vAlign w:val="center"/>
          </w:tcPr>
          <w:p>
            <w:pPr>
              <w:widowControl/>
              <w:spacing w:line="560" w:lineRule="exact"/>
              <w:jc w:val="center"/>
              <w:rPr>
                <w:rFonts w:hint="eastAsia" w:ascii="Times New Roman" w:hAnsi="Times New Roman" w:eastAsia="黑体" w:cs="Times New Roman"/>
                <w:kern w:val="0"/>
                <w:szCs w:val="21"/>
                <w:lang w:eastAsia="zh-CN"/>
              </w:rPr>
            </w:pPr>
            <w:r>
              <w:rPr>
                <w:rFonts w:ascii="Times New Roman" w:hAnsi="Times New Roman" w:eastAsia="黑体" w:cs="Times New Roman"/>
                <w:kern w:val="0"/>
                <w:szCs w:val="21"/>
              </w:rPr>
              <w:t>公务用车</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购置费</w:t>
            </w:r>
          </w:p>
        </w:tc>
        <w:tc>
          <w:tcPr>
            <w:tcW w:w="1220" w:type="dxa"/>
            <w:tcBorders>
              <w:tl2br w:val="nil"/>
              <w:tr2bl w:val="nil"/>
            </w:tcBorders>
            <w:shd w:val="clear" w:color="auto" w:fill="auto"/>
            <w:vAlign w:val="center"/>
          </w:tcPr>
          <w:p>
            <w:pPr>
              <w:widowControl/>
              <w:spacing w:line="560" w:lineRule="exact"/>
              <w:jc w:val="center"/>
              <w:rPr>
                <w:rFonts w:hint="eastAsia" w:ascii="Times New Roman" w:hAnsi="Times New Roman" w:eastAsia="黑体" w:cs="Times New Roman"/>
                <w:kern w:val="0"/>
                <w:szCs w:val="21"/>
                <w:lang w:eastAsia="zh-CN"/>
              </w:rPr>
            </w:pPr>
            <w:r>
              <w:rPr>
                <w:rFonts w:ascii="Times New Roman" w:hAnsi="Times New Roman" w:eastAsia="黑体" w:cs="Times New Roman"/>
                <w:kern w:val="0"/>
                <w:szCs w:val="21"/>
              </w:rPr>
              <w:t>公务用车</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运行费</w:t>
            </w:r>
          </w:p>
        </w:tc>
        <w:tc>
          <w:tcPr>
            <w:tcW w:w="1220" w:type="dxa"/>
            <w:vMerge w:val="continue"/>
            <w:tcBorders>
              <w:tl2br w:val="nil"/>
              <w:tr2bl w:val="nil"/>
            </w:tcBorders>
            <w:vAlign w:val="center"/>
          </w:tcPr>
          <w:p>
            <w:pPr>
              <w:widowControl/>
              <w:spacing w:line="560" w:lineRule="exact"/>
              <w:jc w:val="left"/>
              <w:rPr>
                <w:rFonts w:ascii="Times New Roman" w:hAnsi="Times New Roman" w:eastAsia="黑体" w:cs="Times New Roman"/>
                <w:kern w:val="0"/>
                <w:szCs w:val="21"/>
              </w:rPr>
            </w:pPr>
          </w:p>
        </w:tc>
        <w:tc>
          <w:tcPr>
            <w:tcW w:w="1220" w:type="dxa"/>
            <w:vMerge w:val="continue"/>
            <w:tcBorders>
              <w:tl2br w:val="nil"/>
              <w:tr2bl w:val="nil"/>
            </w:tcBorders>
            <w:vAlign w:val="center"/>
          </w:tcPr>
          <w:p>
            <w:pPr>
              <w:widowControl/>
              <w:spacing w:line="560" w:lineRule="exact"/>
              <w:jc w:val="left"/>
              <w:rPr>
                <w:rFonts w:ascii="Times New Roman" w:hAnsi="Times New Roman" w:eastAsia="黑体" w:cs="Times New Roman"/>
                <w:kern w:val="0"/>
                <w:szCs w:val="21"/>
              </w:rPr>
            </w:pPr>
          </w:p>
        </w:tc>
        <w:tc>
          <w:tcPr>
            <w:tcW w:w="1220" w:type="dxa"/>
            <w:vMerge w:val="continue"/>
            <w:tcBorders>
              <w:tl2br w:val="nil"/>
              <w:tr2bl w:val="nil"/>
            </w:tcBorders>
            <w:vAlign w:val="center"/>
          </w:tcPr>
          <w:p>
            <w:pPr>
              <w:widowControl/>
              <w:spacing w:line="560" w:lineRule="exact"/>
              <w:jc w:val="left"/>
              <w:rPr>
                <w:rFonts w:ascii="Times New Roman" w:hAnsi="Times New Roman" w:eastAsia="黑体" w:cs="Times New Roman"/>
                <w:kern w:val="0"/>
                <w:szCs w:val="21"/>
              </w:rPr>
            </w:pP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小计</w:t>
            </w:r>
          </w:p>
        </w:tc>
        <w:tc>
          <w:tcPr>
            <w:tcW w:w="1220" w:type="dxa"/>
            <w:tcBorders>
              <w:tl2br w:val="nil"/>
              <w:tr2bl w:val="nil"/>
            </w:tcBorders>
            <w:shd w:val="clear" w:color="auto" w:fill="auto"/>
            <w:vAlign w:val="center"/>
          </w:tcPr>
          <w:p>
            <w:pPr>
              <w:widowControl/>
              <w:spacing w:line="560" w:lineRule="exact"/>
              <w:jc w:val="center"/>
              <w:rPr>
                <w:rFonts w:hint="eastAsia" w:ascii="Times New Roman" w:hAnsi="Times New Roman" w:eastAsia="黑体" w:cs="Times New Roman"/>
                <w:kern w:val="0"/>
                <w:szCs w:val="21"/>
                <w:lang w:eastAsia="zh-CN"/>
              </w:rPr>
            </w:pPr>
            <w:r>
              <w:rPr>
                <w:rFonts w:ascii="Times New Roman" w:hAnsi="Times New Roman" w:eastAsia="黑体" w:cs="Times New Roman"/>
                <w:kern w:val="0"/>
                <w:szCs w:val="21"/>
              </w:rPr>
              <w:t>公务用车</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购置费</w:t>
            </w:r>
          </w:p>
        </w:tc>
        <w:tc>
          <w:tcPr>
            <w:tcW w:w="1220" w:type="dxa"/>
            <w:tcBorders>
              <w:tl2br w:val="nil"/>
              <w:tr2bl w:val="nil"/>
            </w:tcBorders>
            <w:shd w:val="clear" w:color="auto" w:fill="auto"/>
            <w:vAlign w:val="center"/>
          </w:tcPr>
          <w:p>
            <w:pPr>
              <w:widowControl/>
              <w:spacing w:line="560" w:lineRule="exact"/>
              <w:jc w:val="center"/>
              <w:rPr>
                <w:rFonts w:hint="eastAsia" w:ascii="Times New Roman" w:hAnsi="Times New Roman" w:eastAsia="黑体" w:cs="Times New Roman"/>
                <w:kern w:val="0"/>
                <w:szCs w:val="21"/>
                <w:lang w:eastAsia="zh-CN"/>
              </w:rPr>
            </w:pPr>
            <w:r>
              <w:rPr>
                <w:rFonts w:ascii="Times New Roman" w:hAnsi="Times New Roman" w:eastAsia="黑体" w:cs="Times New Roman"/>
                <w:kern w:val="0"/>
                <w:szCs w:val="21"/>
              </w:rPr>
              <w:t>公务用车</w:t>
            </w:r>
          </w:p>
          <w:p>
            <w:pPr>
              <w:widowControl/>
              <w:spacing w:line="56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运行费</w:t>
            </w:r>
          </w:p>
        </w:tc>
        <w:tc>
          <w:tcPr>
            <w:tcW w:w="1220" w:type="dxa"/>
            <w:vMerge w:val="continue"/>
            <w:tcBorders>
              <w:tl2br w:val="nil"/>
              <w:tr2bl w:val="nil"/>
            </w:tcBorders>
            <w:vAlign w:val="center"/>
          </w:tcPr>
          <w:p>
            <w:pPr>
              <w:widowControl/>
              <w:spacing w:line="560" w:lineRule="exact"/>
              <w:jc w:val="lef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6</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7</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8</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9</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11</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23.00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0.00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13.00</w:t>
            </w:r>
            <w:r>
              <w:rPr>
                <w:rFonts w:ascii="Times New Roman" w:hAnsi="Times New Roman" w:cs="Times New Roman"/>
                <w:kern w:val="0"/>
                <w:szCs w:val="21"/>
              </w:rPr>
              <w:t>　</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0.00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13.00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10.00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4.18</w:t>
            </w:r>
            <w:r>
              <w:rPr>
                <w:rFonts w:ascii="Times New Roman" w:hAnsi="Times New Roman" w:cs="Times New Roman"/>
                <w:kern w:val="0"/>
                <w:szCs w:val="21"/>
              </w:rPr>
              <w:t>　</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0.00</w:t>
            </w:r>
            <w:r>
              <w:rPr>
                <w:rFonts w:ascii="Times New Roman" w:hAnsi="Times New Roman" w:cs="Times New Roman"/>
                <w:kern w:val="0"/>
                <w:szCs w:val="21"/>
              </w:rPr>
              <w:t>　</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4.18</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0.00</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r>
              <w:rPr>
                <w:rFonts w:hint="eastAsia" w:ascii="Times New Roman" w:hAnsi="Times New Roman" w:cs="Times New Roman"/>
                <w:kern w:val="0"/>
                <w:szCs w:val="21"/>
              </w:rPr>
              <w:t>4.18</w:t>
            </w:r>
          </w:p>
        </w:tc>
        <w:tc>
          <w:tcPr>
            <w:tcW w:w="1220"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0.00</w:t>
            </w:r>
          </w:p>
        </w:tc>
      </w:tr>
    </w:tbl>
    <w:p>
      <w:pPr>
        <w:widowControl/>
        <w:spacing w:beforeLines="50" w:line="560" w:lineRule="exact"/>
        <w:ind w:left="439" w:hanging="439" w:hangingChars="183"/>
        <w:jc w:val="left"/>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spacing w:beforeLines="50" w:line="560" w:lineRule="exact"/>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br w:type="page"/>
      </w:r>
    </w:p>
    <w:p>
      <w:pPr>
        <w:pStyle w:val="14"/>
        <w:spacing w:beforeLines="50" w:afterLines="50" w:line="560" w:lineRule="exact"/>
        <w:jc w:val="center"/>
        <w:rPr>
          <w:rFonts w:hAnsi="黑体" w:cs="Times New Roman"/>
          <w:color w:val="auto"/>
          <w:sz w:val="44"/>
          <w:szCs w:val="44"/>
        </w:rPr>
      </w:pPr>
      <w:r>
        <w:rPr>
          <w:rFonts w:hAnsi="黑体" w:cs="Times New Roman"/>
          <w:color w:val="auto"/>
          <w:sz w:val="44"/>
          <w:szCs w:val="44"/>
        </w:rPr>
        <w:t>政府性基金预算财政拨款收入支出决算表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公开08表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322"/>
        <w:gridCol w:w="2002"/>
        <w:gridCol w:w="2002"/>
        <w:gridCol w:w="2002"/>
        <w:gridCol w:w="2002"/>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项    目</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年初结转和结余</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本年收入</w:t>
            </w:r>
          </w:p>
        </w:tc>
        <w:tc>
          <w:tcPr>
            <w:tcW w:w="6007" w:type="dxa"/>
            <w:gridSpan w:val="3"/>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本年支出</w:t>
            </w:r>
          </w:p>
        </w:tc>
        <w:tc>
          <w:tcPr>
            <w:tcW w:w="2003" w:type="dxa"/>
            <w:vMerge w:val="restart"/>
            <w:tcBorders>
              <w:tl2br w:val="nil"/>
              <w:tr2bl w:val="nil"/>
            </w:tcBorders>
            <w:shd w:val="clear" w:color="auto" w:fill="auto"/>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功能分类科目编码</w:t>
            </w:r>
          </w:p>
        </w:tc>
        <w:tc>
          <w:tcPr>
            <w:tcW w:w="1322"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科目名称</w:t>
            </w:r>
          </w:p>
        </w:tc>
        <w:tc>
          <w:tcPr>
            <w:tcW w:w="2002" w:type="dxa"/>
            <w:tcBorders>
              <w:tl2br w:val="nil"/>
              <w:tr2bl w:val="nil"/>
            </w:tcBorders>
            <w:vAlign w:val="center"/>
          </w:tcPr>
          <w:p>
            <w:pPr>
              <w:widowControl/>
              <w:spacing w:line="560" w:lineRule="exact"/>
              <w:jc w:val="left"/>
              <w:rPr>
                <w:rFonts w:ascii="Times New Roman" w:hAnsi="Times New Roman" w:eastAsia="黑体" w:cs="Times New Roman"/>
                <w:bCs/>
                <w:kern w:val="0"/>
                <w:szCs w:val="21"/>
              </w:rPr>
            </w:pPr>
          </w:p>
        </w:tc>
        <w:tc>
          <w:tcPr>
            <w:tcW w:w="2002" w:type="dxa"/>
            <w:tcBorders>
              <w:tl2br w:val="nil"/>
              <w:tr2bl w:val="nil"/>
            </w:tcBorders>
            <w:vAlign w:val="center"/>
          </w:tcPr>
          <w:p>
            <w:pPr>
              <w:widowControl/>
              <w:spacing w:line="560" w:lineRule="exact"/>
              <w:jc w:val="left"/>
              <w:rPr>
                <w:rFonts w:ascii="Times New Roman" w:hAnsi="Times New Roman" w:eastAsia="黑体" w:cs="Times New Roman"/>
                <w:bCs/>
                <w:kern w:val="0"/>
                <w:szCs w:val="21"/>
              </w:rPr>
            </w:pPr>
          </w:p>
        </w:tc>
        <w:tc>
          <w:tcPr>
            <w:tcW w:w="2002"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小计</w:t>
            </w:r>
          </w:p>
        </w:tc>
        <w:tc>
          <w:tcPr>
            <w:tcW w:w="2002"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 xml:space="preserve">基本支出  </w:t>
            </w:r>
          </w:p>
        </w:tc>
        <w:tc>
          <w:tcPr>
            <w:tcW w:w="2003" w:type="dxa"/>
            <w:tcBorders>
              <w:tl2br w:val="nil"/>
              <w:tr2bl w:val="nil"/>
            </w:tcBorders>
            <w:vAlign w:val="center"/>
          </w:tcPr>
          <w:p>
            <w:pPr>
              <w:widowControl/>
              <w:spacing w:line="560" w:lineRule="exact"/>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项目支出</w:t>
            </w:r>
          </w:p>
        </w:tc>
        <w:tc>
          <w:tcPr>
            <w:tcW w:w="2003" w:type="dxa"/>
            <w:vMerge w:val="continue"/>
            <w:tcBorders>
              <w:tl2br w:val="nil"/>
              <w:tr2bl w:val="nil"/>
            </w:tcBorders>
            <w:vAlign w:val="center"/>
          </w:tcPr>
          <w:p>
            <w:pPr>
              <w:widowControl/>
              <w:spacing w:line="560" w:lineRule="exact"/>
              <w:jc w:val="left"/>
              <w:rPr>
                <w:rFonts w:ascii="Times New Roman" w:hAnsi="Times New Roman" w:eastAsia="黑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栏次</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2003"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2003"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合计</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32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32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spacing w:line="560" w:lineRule="exact"/>
              <w:jc w:val="center"/>
              <w:rPr>
                <w:rFonts w:ascii="Times New Roman" w:hAnsi="Times New Roman" w:cs="Times New Roman"/>
                <w:kern w:val="0"/>
                <w:szCs w:val="21"/>
              </w:rPr>
            </w:pPr>
            <w:r>
              <w:rPr>
                <w:rFonts w:ascii="Times New Roman" w:hAnsi="Times New Roman" w:cs="Times New Roman"/>
                <w:kern w:val="0"/>
                <w:szCs w:val="21"/>
              </w:rPr>
              <w:t>　</w:t>
            </w:r>
          </w:p>
        </w:tc>
        <w:tc>
          <w:tcPr>
            <w:tcW w:w="132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2"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c>
          <w:tcPr>
            <w:tcW w:w="2003" w:type="dxa"/>
            <w:tcBorders>
              <w:tl2br w:val="nil"/>
              <w:tr2bl w:val="nil"/>
            </w:tcBorders>
            <w:shd w:val="clear" w:color="auto" w:fill="auto"/>
            <w:vAlign w:val="center"/>
          </w:tcPr>
          <w:p>
            <w:pPr>
              <w:widowControl/>
              <w:spacing w:line="560" w:lineRule="exact"/>
              <w:jc w:val="left"/>
              <w:rPr>
                <w:rFonts w:ascii="Times New Roman" w:hAnsi="Times New Roman" w:cs="Times New Roman"/>
                <w:kern w:val="0"/>
                <w:szCs w:val="21"/>
              </w:rPr>
            </w:pPr>
            <w:r>
              <w:rPr>
                <w:rFonts w:ascii="Times New Roman" w:hAnsi="Times New Roman" w:cs="Times New Roman"/>
                <w:kern w:val="0"/>
                <w:szCs w:val="21"/>
              </w:rPr>
              <w:t>　</w:t>
            </w:r>
          </w:p>
        </w:tc>
      </w:tr>
    </w:tbl>
    <w:p>
      <w:pPr>
        <w:widowControl/>
        <w:spacing w:beforeLines="50" w:line="560" w:lineRule="exact"/>
        <w:ind w:left="439" w:hanging="439" w:hangingChars="183"/>
        <w:jc w:val="left"/>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注：本表反映部门本年度政府性基金预算财政拨款收入、支出及结转和结余情况</w:t>
      </w:r>
    </w:p>
    <w:p>
      <w:pPr>
        <w:widowControl/>
        <w:spacing w:beforeLines="50" w:line="560" w:lineRule="exact"/>
        <w:jc w:val="left"/>
        <w:rPr>
          <w:rFonts w:ascii="Times New Roman" w:hAnsi="Times New Roman" w:eastAsia="楷体_GB2312" w:cs="Times New Roman"/>
          <w:kern w:val="0"/>
          <w:sz w:val="24"/>
          <w:szCs w:val="24"/>
        </w:rPr>
        <w:sectPr>
          <w:pgSz w:w="16838" w:h="11906" w:orient="landscape"/>
          <w:pgMar w:top="1587" w:right="1701" w:bottom="1587" w:left="1701" w:header="851" w:footer="1417" w:gutter="0"/>
          <w:cols w:space="0" w:num="1"/>
          <w:docGrid w:type="lines" w:linePitch="312" w:charSpace="0"/>
        </w:sectPr>
      </w:pPr>
      <w:r>
        <w:rPr>
          <w:rFonts w:hint="eastAsia" w:ascii="Times New Roman" w:hAnsi="Times New Roman" w:eastAsia="楷体_GB2312" w:cs="Times New Roman"/>
          <w:kern w:val="0"/>
          <w:sz w:val="24"/>
          <w:szCs w:val="24"/>
        </w:rPr>
        <w:t>说明：湖南湘江新区土地储备中心2020年度无政府性基金支出，故本表无数据。</w:t>
      </w:r>
    </w:p>
    <w:p>
      <w:pPr>
        <w:pStyle w:val="14"/>
        <w:spacing w:beforeLines="50" w:afterLines="50" w:line="560" w:lineRule="exact"/>
        <w:jc w:val="center"/>
        <w:rPr>
          <w:rFonts w:hAnsi="黑体" w:cs="Times New Roman"/>
          <w:color w:val="auto"/>
          <w:sz w:val="44"/>
          <w:szCs w:val="44"/>
        </w:rPr>
      </w:pPr>
      <w:r>
        <w:rPr>
          <w:rFonts w:hint="eastAsia" w:hAnsi="黑体" w:cs="Times New Roman"/>
          <w:color w:val="auto"/>
          <w:sz w:val="44"/>
          <w:szCs w:val="44"/>
        </w:rPr>
        <w:t>国有资本经营预算财政拨款支出决算表</w:t>
      </w:r>
    </w:p>
    <w:p>
      <w:pPr>
        <w:widowControl/>
        <w:spacing w:line="560" w:lineRule="exact"/>
        <w:jc w:val="lef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部门：</w:t>
      </w:r>
      <w:r>
        <w:rPr>
          <w:rFonts w:hint="eastAsia" w:ascii="Times New Roman" w:hAnsi="Times New Roman" w:eastAsia="楷体_GB2312" w:cs="Times New Roman"/>
          <w:b/>
          <w:bCs/>
          <w:kern w:val="0"/>
          <w:szCs w:val="21"/>
        </w:rPr>
        <w:t>湖南湘江新区土地储备中心</w:t>
      </w:r>
      <w:r>
        <w:rPr>
          <w:rFonts w:ascii="Times New Roman" w:hAnsi="Times New Roman" w:eastAsia="楷体_GB2312" w:cs="Times New Roman"/>
          <w:b/>
          <w:bCs/>
          <w:kern w:val="0"/>
          <w:szCs w:val="21"/>
        </w:rPr>
        <w:t xml:space="preserve">                                                                                        公开</w:t>
      </w:r>
      <w:r>
        <w:rPr>
          <w:rFonts w:hint="eastAsia" w:ascii="Times New Roman" w:hAnsi="Times New Roman" w:eastAsia="楷体_GB2312" w:cs="Times New Roman"/>
          <w:b/>
          <w:bCs/>
          <w:kern w:val="0"/>
          <w:szCs w:val="21"/>
        </w:rPr>
        <w:t>09</w:t>
      </w:r>
      <w:r>
        <w:rPr>
          <w:rFonts w:ascii="Times New Roman" w:hAnsi="Times New Roman" w:eastAsia="楷体_GB2312" w:cs="Times New Roman"/>
          <w:b/>
          <w:bCs/>
          <w:kern w:val="0"/>
          <w:szCs w:val="21"/>
        </w:rPr>
        <w:t>表</w:t>
      </w:r>
    </w:p>
    <w:p>
      <w:pPr>
        <w:widowControl/>
        <w:spacing w:line="560" w:lineRule="exact"/>
        <w:jc w:val="right"/>
        <w:rPr>
          <w:rFonts w:ascii="Times New Roman" w:hAnsi="Times New Roman" w:eastAsia="楷体_GB2312" w:cs="Times New Roman"/>
          <w:b/>
          <w:bCs/>
          <w:kern w:val="0"/>
          <w:szCs w:val="21"/>
        </w:rPr>
      </w:pPr>
      <w:r>
        <w:rPr>
          <w:rFonts w:ascii="Times New Roman" w:hAnsi="Times New Roman" w:eastAsia="楷体_GB2312" w:cs="Times New Roman"/>
          <w:b/>
          <w:bCs/>
          <w:kern w:val="0"/>
          <w:szCs w:val="21"/>
        </w:rPr>
        <w:t>单位：万元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268"/>
        <w:gridCol w:w="2694"/>
        <w:gridCol w:w="2835"/>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211" w:type="dxa"/>
            <w:gridSpan w:val="3"/>
            <w:vAlign w:val="center"/>
          </w:tcPr>
          <w:p>
            <w:pPr>
              <w:widowControl/>
              <w:spacing w:line="560" w:lineRule="exact"/>
              <w:jc w:val="center"/>
              <w:rPr>
                <w:rFonts w:ascii="黑体" w:hAnsi="黑体" w:eastAsia="黑体" w:cs="Times New Roman"/>
                <w:sz w:val="24"/>
                <w:szCs w:val="24"/>
              </w:rPr>
            </w:pPr>
            <w:r>
              <w:rPr>
                <w:rFonts w:hint="eastAsia" w:ascii="黑体" w:hAnsi="黑体" w:eastAsia="黑体" w:cs="Times New Roman"/>
                <w:kern w:val="0"/>
                <w:szCs w:val="21"/>
              </w:rPr>
              <w:t>项目</w:t>
            </w:r>
          </w:p>
        </w:tc>
        <w:tc>
          <w:tcPr>
            <w:tcW w:w="8441" w:type="dxa"/>
            <w:gridSpan w:val="3"/>
            <w:vAlign w:val="center"/>
          </w:tcPr>
          <w:p>
            <w:pPr>
              <w:widowControl/>
              <w:spacing w:line="560" w:lineRule="exact"/>
              <w:jc w:val="center"/>
              <w:rPr>
                <w:rFonts w:ascii="黑体" w:hAnsi="黑体" w:eastAsia="黑体" w:cs="Times New Roman"/>
                <w:sz w:val="24"/>
                <w:szCs w:val="24"/>
              </w:rPr>
            </w:pPr>
            <w:r>
              <w:rPr>
                <w:rFonts w:hint="eastAsia" w:ascii="黑体" w:hAnsi="黑体" w:eastAsia="黑体" w:cs="Times New Roman"/>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943" w:type="dxa"/>
            <w:gridSpan w:val="2"/>
            <w:vAlign w:val="center"/>
          </w:tcPr>
          <w:p>
            <w:pPr>
              <w:widowControl/>
              <w:spacing w:line="560" w:lineRule="exact"/>
              <w:jc w:val="center"/>
              <w:rPr>
                <w:rFonts w:ascii="黑体" w:hAnsi="黑体" w:eastAsia="黑体" w:cs="Times New Roman"/>
                <w:kern w:val="0"/>
                <w:szCs w:val="21"/>
              </w:rPr>
            </w:pPr>
            <w:r>
              <w:rPr>
                <w:rFonts w:hint="eastAsia" w:ascii="黑体" w:hAnsi="黑体" w:eastAsia="黑体" w:cs="Times New Roman"/>
                <w:kern w:val="0"/>
                <w:szCs w:val="21"/>
              </w:rPr>
              <w:t>功能分类科目编码</w:t>
            </w:r>
          </w:p>
        </w:tc>
        <w:tc>
          <w:tcPr>
            <w:tcW w:w="2268" w:type="dxa"/>
            <w:vAlign w:val="center"/>
          </w:tcPr>
          <w:p>
            <w:pPr>
              <w:widowControl/>
              <w:spacing w:line="560" w:lineRule="exact"/>
              <w:jc w:val="center"/>
              <w:rPr>
                <w:rFonts w:ascii="黑体" w:hAnsi="黑体" w:eastAsia="黑体" w:cs="Times New Roman"/>
                <w:kern w:val="0"/>
                <w:szCs w:val="21"/>
              </w:rPr>
            </w:pPr>
            <w:r>
              <w:rPr>
                <w:rFonts w:hint="eastAsia" w:ascii="黑体" w:hAnsi="黑体" w:eastAsia="黑体" w:cs="Times New Roman"/>
                <w:kern w:val="0"/>
                <w:szCs w:val="21"/>
              </w:rPr>
              <w:t>科目名称</w:t>
            </w:r>
          </w:p>
        </w:tc>
        <w:tc>
          <w:tcPr>
            <w:tcW w:w="2694" w:type="dxa"/>
            <w:vAlign w:val="center"/>
          </w:tcPr>
          <w:p>
            <w:pPr>
              <w:widowControl/>
              <w:spacing w:line="560" w:lineRule="exact"/>
              <w:jc w:val="center"/>
              <w:rPr>
                <w:rFonts w:ascii="黑体" w:hAnsi="黑体" w:eastAsia="黑体" w:cs="Times New Roman"/>
                <w:kern w:val="0"/>
                <w:szCs w:val="21"/>
              </w:rPr>
            </w:pPr>
            <w:r>
              <w:rPr>
                <w:rFonts w:hint="eastAsia" w:ascii="黑体" w:hAnsi="黑体" w:eastAsia="黑体" w:cs="Times New Roman"/>
                <w:kern w:val="0"/>
                <w:szCs w:val="21"/>
              </w:rPr>
              <w:t>合计</w:t>
            </w:r>
          </w:p>
        </w:tc>
        <w:tc>
          <w:tcPr>
            <w:tcW w:w="2835" w:type="dxa"/>
            <w:vAlign w:val="center"/>
          </w:tcPr>
          <w:p>
            <w:pPr>
              <w:widowControl/>
              <w:spacing w:line="560" w:lineRule="exact"/>
              <w:jc w:val="center"/>
              <w:rPr>
                <w:rFonts w:ascii="黑体" w:hAnsi="黑体" w:eastAsia="黑体" w:cs="Times New Roman"/>
                <w:kern w:val="0"/>
                <w:szCs w:val="21"/>
              </w:rPr>
            </w:pPr>
            <w:r>
              <w:rPr>
                <w:rFonts w:hint="eastAsia" w:ascii="黑体" w:hAnsi="黑体" w:eastAsia="黑体" w:cs="Times New Roman"/>
                <w:kern w:val="0"/>
                <w:szCs w:val="21"/>
              </w:rPr>
              <w:t>基本支出</w:t>
            </w:r>
          </w:p>
        </w:tc>
        <w:tc>
          <w:tcPr>
            <w:tcW w:w="2912" w:type="dxa"/>
            <w:vAlign w:val="center"/>
          </w:tcPr>
          <w:p>
            <w:pPr>
              <w:widowControl/>
              <w:spacing w:line="560" w:lineRule="exact"/>
              <w:jc w:val="center"/>
              <w:rPr>
                <w:rFonts w:ascii="黑体" w:hAnsi="黑体" w:eastAsia="黑体" w:cs="Times New Roman"/>
                <w:kern w:val="0"/>
                <w:szCs w:val="21"/>
              </w:rPr>
            </w:pPr>
            <w:r>
              <w:rPr>
                <w:rFonts w:hint="eastAsia" w:ascii="黑体" w:hAnsi="黑体" w:eastAsia="黑体" w:cs="Times New Roman"/>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211" w:type="dxa"/>
            <w:gridSpan w:val="3"/>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栏次</w:t>
            </w:r>
          </w:p>
        </w:tc>
        <w:tc>
          <w:tcPr>
            <w:tcW w:w="2694" w:type="dxa"/>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2835" w:type="dxa"/>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2912" w:type="dxa"/>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211" w:type="dxa"/>
            <w:gridSpan w:val="3"/>
            <w:vAlign w:val="center"/>
          </w:tcPr>
          <w:p>
            <w:pPr>
              <w:widowControl/>
              <w:spacing w:line="560" w:lineRule="exact"/>
              <w:jc w:val="center"/>
              <w:rPr>
                <w:rFonts w:ascii="Times New Roman" w:hAnsi="Times New Roman" w:cs="Times New Roman"/>
                <w:kern w:val="0"/>
                <w:szCs w:val="21"/>
              </w:rPr>
            </w:pPr>
            <w:r>
              <w:rPr>
                <w:rFonts w:hint="eastAsia" w:ascii="Times New Roman" w:hAnsi="Times New Roman" w:cs="Times New Roman"/>
                <w:kern w:val="0"/>
                <w:szCs w:val="21"/>
              </w:rPr>
              <w:t>合计</w:t>
            </w:r>
          </w:p>
        </w:tc>
        <w:tc>
          <w:tcPr>
            <w:tcW w:w="2694" w:type="dxa"/>
            <w:vAlign w:val="center"/>
          </w:tcPr>
          <w:p>
            <w:pPr>
              <w:widowControl/>
              <w:spacing w:line="560" w:lineRule="exact"/>
              <w:jc w:val="right"/>
              <w:rPr>
                <w:rFonts w:ascii="Times New Roman" w:hAnsi="Times New Roman" w:cs="Times New Roman"/>
                <w:kern w:val="0"/>
                <w:szCs w:val="21"/>
              </w:rPr>
            </w:pPr>
          </w:p>
        </w:tc>
        <w:tc>
          <w:tcPr>
            <w:tcW w:w="2835" w:type="dxa"/>
            <w:vAlign w:val="center"/>
          </w:tcPr>
          <w:p>
            <w:pPr>
              <w:widowControl/>
              <w:spacing w:line="560" w:lineRule="exact"/>
              <w:jc w:val="right"/>
              <w:rPr>
                <w:rFonts w:ascii="Times New Roman" w:hAnsi="Times New Roman" w:cs="Times New Roman"/>
                <w:kern w:val="0"/>
                <w:szCs w:val="21"/>
              </w:rPr>
            </w:pPr>
          </w:p>
        </w:tc>
        <w:tc>
          <w:tcPr>
            <w:tcW w:w="2912" w:type="dxa"/>
            <w:vAlign w:val="center"/>
          </w:tcPr>
          <w:p>
            <w:pPr>
              <w:widowControl/>
              <w:spacing w:line="560" w:lineRule="exact"/>
              <w:jc w:val="righ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center"/>
          </w:tcPr>
          <w:p>
            <w:pPr>
              <w:widowControl/>
              <w:spacing w:line="560" w:lineRule="exact"/>
              <w:jc w:val="center"/>
              <w:rPr>
                <w:rFonts w:ascii="Times New Roman" w:hAnsi="Times New Roman" w:cs="Times New Roman"/>
                <w:kern w:val="0"/>
                <w:szCs w:val="21"/>
              </w:rPr>
            </w:pPr>
          </w:p>
        </w:tc>
        <w:tc>
          <w:tcPr>
            <w:tcW w:w="3685" w:type="dxa"/>
            <w:gridSpan w:val="2"/>
            <w:vAlign w:val="center"/>
          </w:tcPr>
          <w:p>
            <w:pPr>
              <w:widowControl/>
              <w:spacing w:line="560" w:lineRule="exact"/>
              <w:jc w:val="center"/>
              <w:rPr>
                <w:rFonts w:ascii="Times New Roman" w:hAnsi="Times New Roman" w:cs="Times New Roman"/>
                <w:kern w:val="0"/>
                <w:szCs w:val="21"/>
              </w:rPr>
            </w:pPr>
          </w:p>
        </w:tc>
        <w:tc>
          <w:tcPr>
            <w:tcW w:w="2694" w:type="dxa"/>
            <w:vAlign w:val="center"/>
          </w:tcPr>
          <w:p>
            <w:pPr>
              <w:widowControl/>
              <w:spacing w:line="560" w:lineRule="exact"/>
              <w:jc w:val="right"/>
              <w:rPr>
                <w:rFonts w:ascii="Times New Roman" w:hAnsi="Times New Roman" w:cs="Times New Roman"/>
                <w:kern w:val="0"/>
                <w:szCs w:val="21"/>
              </w:rPr>
            </w:pPr>
          </w:p>
        </w:tc>
        <w:tc>
          <w:tcPr>
            <w:tcW w:w="2835" w:type="dxa"/>
            <w:vAlign w:val="center"/>
          </w:tcPr>
          <w:p>
            <w:pPr>
              <w:widowControl/>
              <w:spacing w:line="560" w:lineRule="exact"/>
              <w:jc w:val="right"/>
              <w:rPr>
                <w:rFonts w:ascii="Times New Roman" w:hAnsi="Times New Roman" w:cs="Times New Roman"/>
                <w:kern w:val="0"/>
                <w:szCs w:val="21"/>
              </w:rPr>
            </w:pPr>
          </w:p>
        </w:tc>
        <w:tc>
          <w:tcPr>
            <w:tcW w:w="2912" w:type="dxa"/>
            <w:vAlign w:val="center"/>
          </w:tcPr>
          <w:p>
            <w:pPr>
              <w:widowControl/>
              <w:spacing w:line="560" w:lineRule="exact"/>
              <w:jc w:val="righ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center"/>
          </w:tcPr>
          <w:p>
            <w:pPr>
              <w:widowControl/>
              <w:spacing w:line="560" w:lineRule="exact"/>
              <w:jc w:val="center"/>
              <w:rPr>
                <w:rFonts w:ascii="Times New Roman" w:hAnsi="Times New Roman" w:cs="Times New Roman"/>
                <w:kern w:val="0"/>
                <w:szCs w:val="21"/>
              </w:rPr>
            </w:pPr>
          </w:p>
        </w:tc>
        <w:tc>
          <w:tcPr>
            <w:tcW w:w="3685" w:type="dxa"/>
            <w:gridSpan w:val="2"/>
            <w:vAlign w:val="center"/>
          </w:tcPr>
          <w:p>
            <w:pPr>
              <w:widowControl/>
              <w:spacing w:line="560" w:lineRule="exact"/>
              <w:jc w:val="center"/>
              <w:rPr>
                <w:rFonts w:ascii="Times New Roman" w:hAnsi="Times New Roman" w:cs="Times New Roman"/>
                <w:kern w:val="0"/>
                <w:szCs w:val="21"/>
              </w:rPr>
            </w:pPr>
          </w:p>
        </w:tc>
        <w:tc>
          <w:tcPr>
            <w:tcW w:w="2694" w:type="dxa"/>
            <w:vAlign w:val="center"/>
          </w:tcPr>
          <w:p>
            <w:pPr>
              <w:widowControl/>
              <w:spacing w:line="560" w:lineRule="exact"/>
              <w:jc w:val="right"/>
              <w:rPr>
                <w:rFonts w:ascii="Times New Roman" w:hAnsi="Times New Roman" w:cs="Times New Roman"/>
                <w:kern w:val="0"/>
                <w:szCs w:val="21"/>
              </w:rPr>
            </w:pPr>
          </w:p>
        </w:tc>
        <w:tc>
          <w:tcPr>
            <w:tcW w:w="2835" w:type="dxa"/>
            <w:vAlign w:val="center"/>
          </w:tcPr>
          <w:p>
            <w:pPr>
              <w:widowControl/>
              <w:spacing w:line="560" w:lineRule="exact"/>
              <w:jc w:val="right"/>
              <w:rPr>
                <w:rFonts w:ascii="Times New Roman" w:hAnsi="Times New Roman" w:cs="Times New Roman"/>
                <w:kern w:val="0"/>
                <w:szCs w:val="21"/>
              </w:rPr>
            </w:pPr>
          </w:p>
        </w:tc>
        <w:tc>
          <w:tcPr>
            <w:tcW w:w="2912" w:type="dxa"/>
            <w:vAlign w:val="center"/>
          </w:tcPr>
          <w:p>
            <w:pPr>
              <w:widowControl/>
              <w:spacing w:line="560" w:lineRule="exact"/>
              <w:jc w:val="righ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center"/>
          </w:tcPr>
          <w:p>
            <w:pPr>
              <w:widowControl/>
              <w:spacing w:line="560" w:lineRule="exact"/>
              <w:jc w:val="center"/>
              <w:rPr>
                <w:rFonts w:ascii="Times New Roman" w:hAnsi="Times New Roman" w:cs="Times New Roman"/>
                <w:kern w:val="0"/>
                <w:szCs w:val="21"/>
              </w:rPr>
            </w:pPr>
          </w:p>
        </w:tc>
        <w:tc>
          <w:tcPr>
            <w:tcW w:w="3685" w:type="dxa"/>
            <w:gridSpan w:val="2"/>
            <w:vAlign w:val="center"/>
          </w:tcPr>
          <w:p>
            <w:pPr>
              <w:widowControl/>
              <w:spacing w:line="560" w:lineRule="exact"/>
              <w:jc w:val="center"/>
              <w:rPr>
                <w:rFonts w:ascii="Times New Roman" w:hAnsi="Times New Roman" w:cs="Times New Roman"/>
                <w:kern w:val="0"/>
                <w:szCs w:val="21"/>
              </w:rPr>
            </w:pPr>
          </w:p>
        </w:tc>
        <w:tc>
          <w:tcPr>
            <w:tcW w:w="2694" w:type="dxa"/>
            <w:vAlign w:val="center"/>
          </w:tcPr>
          <w:p>
            <w:pPr>
              <w:widowControl/>
              <w:spacing w:line="560" w:lineRule="exact"/>
              <w:jc w:val="right"/>
              <w:rPr>
                <w:rFonts w:ascii="Times New Roman" w:hAnsi="Times New Roman" w:cs="Times New Roman"/>
                <w:kern w:val="0"/>
                <w:szCs w:val="21"/>
              </w:rPr>
            </w:pPr>
          </w:p>
        </w:tc>
        <w:tc>
          <w:tcPr>
            <w:tcW w:w="2835" w:type="dxa"/>
            <w:vAlign w:val="center"/>
          </w:tcPr>
          <w:p>
            <w:pPr>
              <w:widowControl/>
              <w:spacing w:line="560" w:lineRule="exact"/>
              <w:jc w:val="right"/>
              <w:rPr>
                <w:rFonts w:ascii="Times New Roman" w:hAnsi="Times New Roman" w:cs="Times New Roman"/>
                <w:kern w:val="0"/>
                <w:szCs w:val="21"/>
              </w:rPr>
            </w:pPr>
          </w:p>
        </w:tc>
        <w:tc>
          <w:tcPr>
            <w:tcW w:w="2912" w:type="dxa"/>
            <w:vAlign w:val="center"/>
          </w:tcPr>
          <w:p>
            <w:pPr>
              <w:widowControl/>
              <w:spacing w:line="560" w:lineRule="exact"/>
              <w:jc w:val="righ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center"/>
          </w:tcPr>
          <w:p>
            <w:pPr>
              <w:widowControl/>
              <w:spacing w:line="560" w:lineRule="exact"/>
              <w:jc w:val="center"/>
              <w:rPr>
                <w:rFonts w:ascii="Times New Roman" w:hAnsi="Times New Roman" w:cs="Times New Roman"/>
                <w:kern w:val="0"/>
                <w:szCs w:val="21"/>
              </w:rPr>
            </w:pPr>
          </w:p>
        </w:tc>
        <w:tc>
          <w:tcPr>
            <w:tcW w:w="3685" w:type="dxa"/>
            <w:gridSpan w:val="2"/>
            <w:vAlign w:val="center"/>
          </w:tcPr>
          <w:p>
            <w:pPr>
              <w:widowControl/>
              <w:spacing w:line="560" w:lineRule="exact"/>
              <w:jc w:val="center"/>
              <w:rPr>
                <w:rFonts w:ascii="Times New Roman" w:hAnsi="Times New Roman" w:cs="Times New Roman"/>
                <w:kern w:val="0"/>
                <w:szCs w:val="21"/>
              </w:rPr>
            </w:pPr>
          </w:p>
        </w:tc>
        <w:tc>
          <w:tcPr>
            <w:tcW w:w="2694" w:type="dxa"/>
            <w:vAlign w:val="center"/>
          </w:tcPr>
          <w:p>
            <w:pPr>
              <w:widowControl/>
              <w:spacing w:line="560" w:lineRule="exact"/>
              <w:jc w:val="right"/>
              <w:rPr>
                <w:rFonts w:ascii="Times New Roman" w:hAnsi="Times New Roman" w:cs="Times New Roman"/>
                <w:kern w:val="0"/>
                <w:szCs w:val="21"/>
              </w:rPr>
            </w:pPr>
          </w:p>
        </w:tc>
        <w:tc>
          <w:tcPr>
            <w:tcW w:w="2835" w:type="dxa"/>
            <w:vAlign w:val="center"/>
          </w:tcPr>
          <w:p>
            <w:pPr>
              <w:widowControl/>
              <w:spacing w:line="560" w:lineRule="exact"/>
              <w:jc w:val="right"/>
              <w:rPr>
                <w:rFonts w:ascii="Times New Roman" w:hAnsi="Times New Roman" w:cs="Times New Roman"/>
                <w:kern w:val="0"/>
                <w:szCs w:val="21"/>
              </w:rPr>
            </w:pPr>
          </w:p>
        </w:tc>
        <w:tc>
          <w:tcPr>
            <w:tcW w:w="2912" w:type="dxa"/>
            <w:vAlign w:val="center"/>
          </w:tcPr>
          <w:p>
            <w:pPr>
              <w:widowControl/>
              <w:spacing w:line="560" w:lineRule="exact"/>
              <w:jc w:val="right"/>
              <w:rPr>
                <w:rFonts w:ascii="Times New Roman" w:hAnsi="Times New Roman" w:cs="Times New Roman"/>
                <w:kern w:val="0"/>
                <w:szCs w:val="21"/>
              </w:rPr>
            </w:pPr>
          </w:p>
        </w:tc>
      </w:tr>
    </w:tbl>
    <w:p>
      <w:pPr>
        <w:widowControl/>
        <w:spacing w:beforeLines="50" w:line="560" w:lineRule="exact"/>
        <w:ind w:left="439" w:hanging="439" w:hangingChars="183"/>
        <w:jc w:val="left"/>
        <w:rPr>
          <w:rFonts w:ascii="Times New Roman" w:hAnsi="Times New Roman" w:eastAsia="楷体_GB2312" w:cs="Times New Roman"/>
          <w:kern w:val="0"/>
          <w:sz w:val="24"/>
          <w:szCs w:val="24"/>
        </w:rPr>
      </w:pPr>
      <w:r>
        <w:rPr>
          <w:rFonts w:hint="eastAsia" w:ascii="Times New Roman" w:hAnsi="Times New Roman" w:eastAsia="楷体_GB2312" w:cs="Times New Roman"/>
          <w:kern w:val="0"/>
          <w:sz w:val="24"/>
          <w:szCs w:val="24"/>
        </w:rPr>
        <w:t>注：本表反映部门本年度国有资本经营预算财政拨款支出情况。</w:t>
      </w:r>
    </w:p>
    <w:p>
      <w:pPr>
        <w:widowControl/>
        <w:spacing w:beforeLines="50" w:line="560" w:lineRule="exact"/>
        <w:jc w:val="left"/>
        <w:rPr>
          <w:rFonts w:ascii="Times New Roman" w:hAnsi="Times New Roman" w:eastAsia="楷体_GB2312" w:cs="Times New Roman"/>
          <w:kern w:val="0"/>
          <w:sz w:val="24"/>
          <w:szCs w:val="24"/>
        </w:rPr>
        <w:sectPr>
          <w:pgSz w:w="16838" w:h="11906" w:orient="landscape"/>
          <w:pgMar w:top="1587" w:right="1701" w:bottom="1587" w:left="1701" w:header="851" w:footer="1417" w:gutter="0"/>
          <w:cols w:space="0" w:num="1"/>
          <w:docGrid w:type="lines" w:linePitch="312" w:charSpace="0"/>
        </w:sectPr>
      </w:pPr>
      <w:r>
        <w:rPr>
          <w:rFonts w:hint="eastAsia" w:ascii="Times New Roman" w:hAnsi="Times New Roman" w:eastAsia="楷体_GB2312" w:cs="Times New Roman"/>
          <w:kern w:val="0"/>
          <w:sz w:val="24"/>
          <w:szCs w:val="24"/>
        </w:rPr>
        <w:t>说明：湖南湘江新区土地储备中心2020年度无国有资本经营支出，故本表无数据。</w:t>
      </w: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Ansi="黑体" w:cs="Times New Roman"/>
          <w:color w:val="auto"/>
          <w:sz w:val="60"/>
          <w:szCs w:val="60"/>
        </w:rPr>
      </w:pPr>
      <w:r>
        <w:rPr>
          <w:rFonts w:hAnsi="黑体" w:cs="Times New Roman"/>
          <w:color w:val="auto"/>
          <w:sz w:val="60"/>
          <w:szCs w:val="60"/>
        </w:rPr>
        <w:t>第三部分</w:t>
      </w:r>
    </w:p>
    <w:p>
      <w:pPr>
        <w:pStyle w:val="14"/>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Ansi="黑体" w:cs="Times New Roman"/>
          <w:color w:val="auto"/>
          <w:sz w:val="60"/>
          <w:szCs w:val="60"/>
        </w:rPr>
      </w:pPr>
      <w:r>
        <w:rPr>
          <w:rFonts w:hAnsi="黑体" w:cs="Times New Roman"/>
          <w:color w:val="auto"/>
          <w:sz w:val="60"/>
          <w:szCs w:val="60"/>
        </w:rPr>
        <w:t>20</w:t>
      </w:r>
      <w:r>
        <w:rPr>
          <w:rFonts w:hint="eastAsia" w:hAnsi="黑体" w:cs="Times New Roman"/>
          <w:color w:val="auto"/>
          <w:sz w:val="60"/>
          <w:szCs w:val="60"/>
        </w:rPr>
        <w:t>20</w:t>
      </w:r>
      <w:r>
        <w:rPr>
          <w:rFonts w:hAnsi="黑体" w:cs="Times New Roman"/>
          <w:color w:val="auto"/>
          <w:sz w:val="60"/>
          <w:szCs w:val="60"/>
        </w:rPr>
        <w:t>年度部门决算情况说明</w:t>
      </w: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pStyle w:val="14"/>
        <w:spacing w:line="560" w:lineRule="exact"/>
        <w:ind w:firstLine="640" w:firstLineChars="200"/>
        <w:rPr>
          <w:rFonts w:ascii="Times New Roman" w:hAnsi="Times New Roman" w:cs="Times New Roman"/>
          <w:bCs/>
          <w:color w:val="auto"/>
          <w:sz w:val="32"/>
          <w:szCs w:val="32"/>
        </w:rPr>
      </w:pP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一、收入支出决算总体情况说明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年度总收入</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万元，总支出</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万元。与201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年相比，减少</w:t>
      </w:r>
      <w:r>
        <w:rPr>
          <w:rFonts w:hint="eastAsia" w:ascii="仿宋_GB2312" w:hAnsi="仿宋_GB2312" w:eastAsia="仿宋_GB2312" w:cs="仿宋_GB2312"/>
          <w:sz w:val="32"/>
          <w:szCs w:val="32"/>
        </w:rPr>
        <w:t>11.42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下降0.98</w:t>
      </w:r>
      <w:r>
        <w:rPr>
          <w:rFonts w:ascii="仿宋_GB2312" w:hAnsi="仿宋_GB2312" w:eastAsia="仿宋_GB2312" w:cs="仿宋_GB2312"/>
          <w:sz w:val="32"/>
          <w:szCs w:val="32"/>
        </w:rPr>
        <w:t>%，主要</w:t>
      </w:r>
      <w:r>
        <w:rPr>
          <w:rFonts w:hint="eastAsia" w:ascii="仿宋_GB2312" w:hAnsi="仿宋_GB2312" w:eastAsia="仿宋_GB2312" w:cs="仿宋_GB2312"/>
          <w:sz w:val="32"/>
          <w:szCs w:val="32"/>
        </w:rPr>
        <w:t>原因：深入贯彻落实过紧日子要求，坚决压减一般性支出，严控经费支出。</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二、收入决算情况说明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本年收入合计</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三、支出决算情况说明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本年支出合计</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万元，其中：基本支出</w:t>
      </w:r>
      <w:r>
        <w:rPr>
          <w:rFonts w:hint="eastAsia" w:ascii="仿宋_GB2312" w:hAnsi="仿宋_GB2312" w:eastAsia="仿宋_GB2312" w:cs="仿宋_GB2312"/>
          <w:sz w:val="32"/>
          <w:szCs w:val="32"/>
        </w:rPr>
        <w:t>1,143.41</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rPr>
        <w:t>99.32</w:t>
      </w:r>
      <w:r>
        <w:rPr>
          <w:rFonts w:ascii="仿宋_GB2312" w:hAnsi="仿宋_GB2312" w:eastAsia="仿宋_GB2312" w:cs="仿宋_GB2312"/>
          <w:sz w:val="32"/>
          <w:szCs w:val="32"/>
        </w:rPr>
        <w:t>%；项目支出</w:t>
      </w:r>
      <w:r>
        <w:rPr>
          <w:rFonts w:hint="eastAsia" w:ascii="仿宋_GB2312" w:hAnsi="仿宋_GB2312" w:eastAsia="仿宋_GB2312" w:cs="仿宋_GB2312"/>
          <w:sz w:val="32"/>
          <w:szCs w:val="32"/>
        </w:rPr>
        <w:t>7.88</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rPr>
        <w:t>0.68</w:t>
      </w:r>
      <w:r>
        <w:rPr>
          <w:rFonts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四、财政拨款收入支出决算总体情况说明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年度财政拨款收</w:t>
      </w:r>
      <w:r>
        <w:rPr>
          <w:rFonts w:hint="eastAsia" w:ascii="仿宋_GB2312" w:hAnsi="仿宋_GB2312" w:eastAsia="仿宋_GB2312" w:cs="仿宋_GB2312"/>
          <w:sz w:val="32"/>
          <w:szCs w:val="32"/>
        </w:rPr>
        <w:t>入</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万元、支出总计</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万元，与201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年相比，减少</w:t>
      </w:r>
      <w:r>
        <w:rPr>
          <w:rFonts w:hint="eastAsia" w:ascii="仿宋_GB2312" w:hAnsi="仿宋_GB2312" w:eastAsia="仿宋_GB2312" w:cs="仿宋_GB2312"/>
          <w:sz w:val="32"/>
          <w:szCs w:val="32"/>
        </w:rPr>
        <w:t>11.42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下降0.98</w:t>
      </w:r>
      <w:r>
        <w:rPr>
          <w:rFonts w:ascii="仿宋_GB2312" w:hAnsi="仿宋_GB2312" w:eastAsia="仿宋_GB2312" w:cs="仿宋_GB2312"/>
          <w:sz w:val="32"/>
          <w:szCs w:val="32"/>
        </w:rPr>
        <w:t>%，主要</w:t>
      </w:r>
      <w:r>
        <w:rPr>
          <w:rFonts w:hint="eastAsia" w:ascii="仿宋_GB2312" w:hAnsi="仿宋_GB2312" w:eastAsia="仿宋_GB2312" w:cs="仿宋_GB2312"/>
          <w:sz w:val="32"/>
          <w:szCs w:val="32"/>
        </w:rPr>
        <w:t>原因：深入贯彻落实过紧日子要求，坚决压减一般性支出，严控经费支出。</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五、一般公共预算财政拨款支出决算情况说明</w:t>
      </w:r>
    </w:p>
    <w:p>
      <w:pPr>
        <w:autoSpaceDE w:val="0"/>
        <w:spacing w:line="560" w:lineRule="exact"/>
        <w:ind w:firstLine="640" w:firstLineChars="200"/>
        <w:rPr>
          <w:rFonts w:ascii="楷体" w:hAnsi="楷体" w:eastAsia="楷体" w:cs="仿宋_GB2312"/>
          <w:sz w:val="32"/>
          <w:szCs w:val="32"/>
        </w:rPr>
      </w:pPr>
      <w:r>
        <w:rPr>
          <w:rFonts w:ascii="楷体" w:hAnsi="楷体" w:eastAsia="楷体" w:cs="仿宋_GB2312"/>
          <w:sz w:val="32"/>
          <w:szCs w:val="32"/>
        </w:rPr>
        <w:t>（一）财政拨款支出决算总体情况</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年度财政拨款支出</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%，与201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年相比，财政拨款支出减少</w:t>
      </w:r>
      <w:r>
        <w:rPr>
          <w:rFonts w:hint="eastAsia" w:ascii="仿宋_GB2312" w:hAnsi="仿宋_GB2312" w:eastAsia="仿宋_GB2312" w:cs="仿宋_GB2312"/>
          <w:sz w:val="32"/>
          <w:szCs w:val="32"/>
        </w:rPr>
        <w:t>11.42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下降0.98</w:t>
      </w:r>
      <w:r>
        <w:rPr>
          <w:rFonts w:ascii="仿宋_GB2312" w:hAnsi="仿宋_GB2312" w:eastAsia="仿宋_GB2312" w:cs="仿宋_GB2312"/>
          <w:sz w:val="32"/>
          <w:szCs w:val="32"/>
        </w:rPr>
        <w:t>%，主要</w:t>
      </w:r>
      <w:r>
        <w:rPr>
          <w:rFonts w:hint="eastAsia" w:ascii="仿宋_GB2312" w:hAnsi="仿宋_GB2312" w:eastAsia="仿宋_GB2312" w:cs="仿宋_GB2312"/>
          <w:sz w:val="32"/>
          <w:szCs w:val="32"/>
        </w:rPr>
        <w:t>原因：深入贯彻落实过紧日子要求，坚决压减一般性支出，严控经费支出。</w:t>
      </w:r>
    </w:p>
    <w:p>
      <w:pPr>
        <w:autoSpaceDE w:val="0"/>
        <w:spacing w:line="560" w:lineRule="exact"/>
        <w:ind w:firstLine="640" w:firstLineChars="200"/>
        <w:rPr>
          <w:rFonts w:ascii="楷体" w:hAnsi="楷体" w:eastAsia="楷体" w:cs="仿宋_GB2312"/>
          <w:sz w:val="32"/>
          <w:szCs w:val="32"/>
        </w:rPr>
      </w:pPr>
      <w:r>
        <w:rPr>
          <w:rFonts w:ascii="楷体" w:hAnsi="楷体" w:eastAsia="楷体" w:cs="仿宋_GB2312"/>
          <w:sz w:val="32"/>
          <w:szCs w:val="32"/>
        </w:rPr>
        <w:t>（二）财政拨款支出决算结构情况</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年度财政拨款支出</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全部</w:t>
      </w:r>
      <w:r>
        <w:rPr>
          <w:rFonts w:ascii="仿宋_GB2312" w:hAnsi="仿宋_GB2312" w:eastAsia="仿宋_GB2312" w:cs="仿宋_GB2312"/>
          <w:sz w:val="32"/>
          <w:szCs w:val="32"/>
        </w:rPr>
        <w:t>用于一般公共服务（类）支出</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w:t>
      </w:r>
    </w:p>
    <w:p>
      <w:pPr>
        <w:autoSpaceDE w:val="0"/>
        <w:spacing w:line="560" w:lineRule="exact"/>
        <w:ind w:firstLine="640" w:firstLineChars="200"/>
        <w:rPr>
          <w:rFonts w:ascii="楷体" w:hAnsi="楷体" w:eastAsia="楷体" w:cs="仿宋_GB2312"/>
          <w:sz w:val="32"/>
          <w:szCs w:val="32"/>
        </w:rPr>
      </w:pPr>
      <w:r>
        <w:rPr>
          <w:rFonts w:ascii="楷体" w:hAnsi="楷体" w:eastAsia="楷体" w:cs="仿宋_GB2312"/>
          <w:sz w:val="32"/>
          <w:szCs w:val="32"/>
        </w:rPr>
        <w:t>（三）财政拨款支出决算具体情况</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年度财政拨款支出年初预算数为</w:t>
      </w:r>
      <w:r>
        <w:rPr>
          <w:rFonts w:hint="eastAsia" w:ascii="仿宋_GB2312" w:hAnsi="仿宋_GB2312" w:eastAsia="仿宋_GB2312" w:cs="仿宋_GB2312"/>
          <w:sz w:val="32"/>
          <w:szCs w:val="32"/>
        </w:rPr>
        <w:t>1,254</w:t>
      </w:r>
      <w:r>
        <w:rPr>
          <w:rFonts w:ascii="仿宋_GB2312" w:hAnsi="仿宋_GB2312" w:eastAsia="仿宋_GB2312" w:cs="仿宋_GB2312"/>
          <w:sz w:val="32"/>
          <w:szCs w:val="32"/>
        </w:rPr>
        <w:t>万元，支出决算数为</w:t>
      </w:r>
      <w:r>
        <w:rPr>
          <w:rFonts w:hint="eastAsia" w:ascii="仿宋_GB2312" w:hAnsi="仿宋_GB2312" w:eastAsia="仿宋_GB2312" w:cs="仿宋_GB2312"/>
          <w:sz w:val="32"/>
          <w:szCs w:val="32"/>
        </w:rPr>
        <w:t>1,151.29</w:t>
      </w:r>
      <w:r>
        <w:rPr>
          <w:rFonts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rPr>
        <w:t>91.81</w:t>
      </w:r>
      <w:r>
        <w:rPr>
          <w:rFonts w:ascii="仿宋_GB2312" w:hAnsi="仿宋_GB2312" w:eastAsia="仿宋_GB2312" w:cs="仿宋_GB2312"/>
          <w:sz w:val="32"/>
          <w:szCs w:val="32"/>
        </w:rPr>
        <w:t>%，其中：</w:t>
      </w:r>
    </w:p>
    <w:p>
      <w:pPr>
        <w:autoSpaceDE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rPr>
        <w:t>政府办公厅(室)及相关机构事务</w:t>
      </w:r>
      <w:r>
        <w:rPr>
          <w:rFonts w:ascii="仿宋_GB2312" w:hAnsi="仿宋_GB2312" w:eastAsia="仿宋_GB2312" w:cs="仿宋_GB2312"/>
          <w:b/>
          <w:sz w:val="32"/>
          <w:szCs w:val="32"/>
        </w:rPr>
        <w:t>（款）</w:t>
      </w:r>
      <w:r>
        <w:rPr>
          <w:rFonts w:hint="eastAsia" w:ascii="仿宋_GB2312" w:hAnsi="仿宋_GB2312" w:eastAsia="仿宋_GB2312" w:cs="仿宋_GB2312"/>
          <w:b/>
          <w:sz w:val="32"/>
          <w:szCs w:val="32"/>
        </w:rPr>
        <w:t>行政运行</w:t>
      </w:r>
      <w:r>
        <w:rPr>
          <w:rFonts w:ascii="仿宋_GB2312" w:hAnsi="仿宋_GB2312" w:eastAsia="仿宋_GB2312" w:cs="仿宋_GB2312"/>
          <w:b/>
          <w:sz w:val="32"/>
          <w:szCs w:val="32"/>
        </w:rPr>
        <w:t>（项）。</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年初预算为</w:t>
      </w:r>
      <w:r>
        <w:rPr>
          <w:rFonts w:hint="eastAsia" w:ascii="仿宋_GB2312" w:hAnsi="仿宋_GB2312" w:eastAsia="仿宋_GB2312" w:cs="仿宋_GB2312"/>
          <w:sz w:val="32"/>
          <w:szCs w:val="32"/>
        </w:rPr>
        <w:t>1,244</w:t>
      </w:r>
      <w:r>
        <w:rPr>
          <w:rFonts w:ascii="仿宋_GB2312" w:hAnsi="仿宋_GB2312" w:eastAsia="仿宋_GB2312" w:cs="仿宋_GB2312"/>
          <w:sz w:val="32"/>
          <w:szCs w:val="32"/>
        </w:rPr>
        <w:t>万元，支出决算为</w:t>
      </w:r>
      <w:r>
        <w:rPr>
          <w:rFonts w:hint="eastAsia" w:ascii="仿宋_GB2312" w:hAnsi="仿宋_GB2312" w:eastAsia="仿宋_GB2312" w:cs="仿宋_GB2312"/>
          <w:sz w:val="32"/>
          <w:szCs w:val="32"/>
        </w:rPr>
        <w:t>1,143.41</w:t>
      </w:r>
      <w:r>
        <w:rPr>
          <w:rFonts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rPr>
        <w:t>91.91</w:t>
      </w:r>
      <w:r>
        <w:rPr>
          <w:rFonts w:ascii="仿宋_GB2312" w:hAnsi="仿宋_GB2312" w:eastAsia="仿宋_GB2312" w:cs="仿宋_GB2312"/>
          <w:sz w:val="32"/>
          <w:szCs w:val="32"/>
        </w:rPr>
        <w:t>%，决算数</w:t>
      </w:r>
      <w:r>
        <w:rPr>
          <w:rFonts w:hint="eastAsia" w:ascii="仿宋_GB2312" w:hAnsi="仿宋_GB2312" w:eastAsia="仿宋_GB2312" w:cs="仿宋_GB2312"/>
          <w:sz w:val="32"/>
          <w:szCs w:val="32"/>
        </w:rPr>
        <w:t>小</w:t>
      </w:r>
      <w:r>
        <w:rPr>
          <w:rFonts w:ascii="仿宋_GB2312" w:hAnsi="仿宋_GB2312" w:eastAsia="仿宋_GB2312" w:cs="仿宋_GB2312"/>
          <w:sz w:val="32"/>
          <w:szCs w:val="32"/>
        </w:rPr>
        <w:t>于年初预算数的主要原因：</w:t>
      </w:r>
      <w:r>
        <w:rPr>
          <w:rFonts w:hint="eastAsia" w:ascii="仿宋_GB2312" w:hAnsi="仿宋_GB2312" w:eastAsia="仿宋_GB2312" w:cs="仿宋_GB2312"/>
          <w:sz w:val="32"/>
          <w:szCs w:val="32"/>
        </w:rPr>
        <w:t>一是中心调出3人，人员经费支出减少；二是深入贯彻落实过紧日子要求，坚决压减一般性支出，日常公用经费支出减少。</w:t>
      </w:r>
    </w:p>
    <w:p>
      <w:pPr>
        <w:autoSpaceDE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rPr>
        <w:t>政府办公厅(室)及相关机构事务</w:t>
      </w:r>
      <w:r>
        <w:rPr>
          <w:rFonts w:ascii="仿宋_GB2312" w:hAnsi="仿宋_GB2312" w:eastAsia="仿宋_GB2312" w:cs="仿宋_GB2312"/>
          <w:b/>
          <w:sz w:val="32"/>
          <w:szCs w:val="32"/>
        </w:rPr>
        <w:t>（款）</w:t>
      </w:r>
      <w:r>
        <w:rPr>
          <w:rFonts w:hint="eastAsia" w:ascii="仿宋_GB2312" w:hAnsi="仿宋_GB2312" w:eastAsia="仿宋_GB2312" w:cs="仿宋_GB2312"/>
          <w:b/>
          <w:sz w:val="32"/>
          <w:szCs w:val="32"/>
        </w:rPr>
        <w:t>一般行政管理事务</w:t>
      </w:r>
      <w:r>
        <w:rPr>
          <w:rFonts w:ascii="仿宋_GB2312" w:hAnsi="仿宋_GB2312" w:eastAsia="仿宋_GB2312" w:cs="仿宋_GB2312"/>
          <w:b/>
          <w:sz w:val="32"/>
          <w:szCs w:val="32"/>
        </w:rPr>
        <w:t>（项）。</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年初预算为</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万元，支出决算为</w:t>
      </w:r>
      <w:r>
        <w:rPr>
          <w:rFonts w:hint="eastAsia" w:ascii="仿宋_GB2312" w:hAnsi="仿宋_GB2312" w:eastAsia="仿宋_GB2312" w:cs="仿宋_GB2312"/>
          <w:sz w:val="32"/>
          <w:szCs w:val="32"/>
        </w:rPr>
        <w:t>7.88</w:t>
      </w:r>
      <w:r>
        <w:rPr>
          <w:rFonts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rPr>
        <w:t>78.8</w:t>
      </w:r>
      <w:r>
        <w:rPr>
          <w:rFonts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rPr>
        <w:t>深入贯彻执行过紧日子的要求，严控经费支出。</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六、一般公共预算财政拨款基本支出决算情况说明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年度财政拨款基本支出</w:t>
      </w:r>
      <w:r>
        <w:rPr>
          <w:rFonts w:hint="eastAsia" w:ascii="仿宋_GB2312" w:hAnsi="仿宋_GB2312" w:eastAsia="仿宋_GB2312" w:cs="仿宋_GB2312"/>
          <w:sz w:val="32"/>
          <w:szCs w:val="32"/>
        </w:rPr>
        <w:t>1,143.41</w:t>
      </w:r>
      <w:r>
        <w:rPr>
          <w:rFonts w:ascii="仿宋_GB2312" w:hAnsi="仿宋_GB2312" w:eastAsia="仿宋_GB2312" w:cs="仿宋_GB2312"/>
          <w:sz w:val="32"/>
          <w:szCs w:val="32"/>
        </w:rPr>
        <w:t>万元，其中：</w:t>
      </w:r>
    </w:p>
    <w:p>
      <w:pPr>
        <w:autoSpaceDE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（一）人员经费支出。</w:t>
      </w:r>
      <w:r>
        <w:rPr>
          <w:rFonts w:ascii="仿宋_GB2312" w:hAnsi="仿宋_GB2312" w:eastAsia="仿宋_GB2312" w:cs="仿宋_GB2312"/>
          <w:sz w:val="32"/>
          <w:szCs w:val="32"/>
        </w:rPr>
        <w:t>人员经费</w:t>
      </w:r>
      <w:r>
        <w:rPr>
          <w:rFonts w:hint="eastAsia" w:ascii="仿宋_GB2312" w:hAnsi="仿宋_GB2312" w:eastAsia="仿宋_GB2312" w:cs="仿宋_GB2312"/>
          <w:sz w:val="32"/>
          <w:szCs w:val="32"/>
        </w:rPr>
        <w:t>支出1,056.53</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基本支出的</w:t>
      </w:r>
      <w:r>
        <w:rPr>
          <w:rFonts w:hint="eastAsia" w:ascii="仿宋_GB2312" w:hAnsi="仿宋_GB2312" w:eastAsia="仿宋_GB2312" w:cs="仿宋_GB2312"/>
          <w:sz w:val="32"/>
          <w:szCs w:val="32"/>
        </w:rPr>
        <w:t>92.40</w:t>
      </w:r>
      <w:r>
        <w:rPr>
          <w:rFonts w:ascii="仿宋_GB2312" w:hAnsi="仿宋_GB2312" w:eastAsia="仿宋_GB2312" w:cs="仿宋_GB2312"/>
          <w:sz w:val="32"/>
          <w:szCs w:val="32"/>
        </w:rPr>
        <w:t>%，主要包括基本工资、津贴补贴、奖金、伙食补助费</w:t>
      </w:r>
      <w:r>
        <w:rPr>
          <w:rFonts w:hint="eastAsia" w:ascii="仿宋_GB2312" w:hAnsi="仿宋_GB2312" w:eastAsia="仿宋_GB2312" w:cs="仿宋_GB2312"/>
          <w:sz w:val="32"/>
          <w:szCs w:val="32"/>
        </w:rPr>
        <w:t>、绩效工资、社保缴费、住房公积金、医疗费（体检）、退休费及其他</w:t>
      </w:r>
      <w:r>
        <w:rPr>
          <w:rFonts w:ascii="仿宋_GB2312" w:hAnsi="仿宋_GB2312" w:eastAsia="仿宋_GB2312" w:cs="仿宋_GB2312"/>
          <w:sz w:val="32"/>
          <w:szCs w:val="32"/>
        </w:rPr>
        <w:t>；</w:t>
      </w:r>
    </w:p>
    <w:p>
      <w:pPr>
        <w:autoSpaceDE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公用经费</w:t>
      </w:r>
      <w:r>
        <w:rPr>
          <w:rFonts w:hint="eastAsia" w:ascii="楷体" w:hAnsi="楷体" w:eastAsia="楷体" w:cs="仿宋_GB2312"/>
          <w:sz w:val="32"/>
          <w:szCs w:val="32"/>
        </w:rPr>
        <w:t>支出。</w:t>
      </w:r>
      <w:r>
        <w:rPr>
          <w:rFonts w:ascii="仿宋_GB2312" w:hAnsi="仿宋_GB2312" w:eastAsia="仿宋_GB2312" w:cs="仿宋_GB2312"/>
          <w:sz w:val="32"/>
          <w:szCs w:val="32"/>
        </w:rPr>
        <w:t>公用经费</w:t>
      </w:r>
      <w:r>
        <w:rPr>
          <w:rFonts w:hint="eastAsia" w:ascii="仿宋_GB2312" w:hAnsi="仿宋_GB2312" w:eastAsia="仿宋_GB2312" w:cs="仿宋_GB2312"/>
          <w:sz w:val="32"/>
          <w:szCs w:val="32"/>
        </w:rPr>
        <w:t>支出86.88</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基本支出的</w:t>
      </w:r>
      <w:r>
        <w:rPr>
          <w:rFonts w:hint="eastAsia" w:ascii="仿宋_GB2312" w:hAnsi="仿宋_GB2312" w:eastAsia="仿宋_GB2312" w:cs="仿宋_GB2312"/>
          <w:sz w:val="32"/>
          <w:szCs w:val="32"/>
        </w:rPr>
        <w:t>7.60</w:t>
      </w:r>
      <w:r>
        <w:rPr>
          <w:rFonts w:ascii="仿宋_GB2312" w:hAnsi="仿宋_GB2312" w:eastAsia="仿宋_GB2312" w:cs="仿宋_GB2312"/>
          <w:sz w:val="32"/>
          <w:szCs w:val="32"/>
        </w:rPr>
        <w:t>%，主要包括办公费、印刷费、咨询费、手续费</w:t>
      </w:r>
      <w:r>
        <w:rPr>
          <w:rFonts w:hint="eastAsia" w:ascii="仿宋_GB2312" w:hAnsi="仿宋_GB2312" w:eastAsia="仿宋_GB2312" w:cs="仿宋_GB2312"/>
          <w:sz w:val="32"/>
          <w:szCs w:val="32"/>
        </w:rPr>
        <w:t>、水费、邮电费、差旅费、维修（护）费、会议费、培训费、公务接待费、劳务费、委托业务费、工会经费、公务用车运行维护费、其他交通费用及其他</w:t>
      </w:r>
      <w:r>
        <w:rPr>
          <w:rFonts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七、一般公共预算财政拨款三公经费支出决算情况说明</w:t>
      </w:r>
    </w:p>
    <w:p>
      <w:pPr>
        <w:autoSpaceDE w:val="0"/>
        <w:spacing w:line="560" w:lineRule="exact"/>
        <w:ind w:firstLine="640" w:firstLineChars="200"/>
        <w:rPr>
          <w:rFonts w:ascii="楷体" w:hAnsi="楷体" w:eastAsia="楷体" w:cs="仿宋_GB2312"/>
          <w:sz w:val="32"/>
          <w:szCs w:val="32"/>
        </w:rPr>
      </w:pPr>
      <w:r>
        <w:rPr>
          <w:rFonts w:ascii="楷体" w:hAnsi="楷体" w:eastAsia="楷体" w:cs="仿宋_GB2312"/>
          <w:sz w:val="32"/>
          <w:szCs w:val="32"/>
        </w:rPr>
        <w:t>（一）“三公”经费财政拨款支出决算总体情况说明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rPr>
        <w:t>23</w:t>
      </w:r>
      <w:r>
        <w:rPr>
          <w:rFonts w:ascii="仿宋_GB2312" w:hAnsi="仿宋_GB2312" w:eastAsia="仿宋_GB2312" w:cs="仿宋_GB2312"/>
          <w:sz w:val="32"/>
          <w:szCs w:val="32"/>
        </w:rPr>
        <w:t>万元，支出决算为</w:t>
      </w:r>
      <w:r>
        <w:rPr>
          <w:rFonts w:hint="eastAsia" w:ascii="仿宋_GB2312" w:hAnsi="仿宋_GB2312" w:eastAsia="仿宋_GB2312" w:cs="仿宋_GB2312"/>
          <w:sz w:val="32"/>
          <w:szCs w:val="32"/>
        </w:rPr>
        <w:t>4.18</w:t>
      </w:r>
      <w:r>
        <w:rPr>
          <w:rFonts w:ascii="仿宋_GB2312" w:hAnsi="仿宋_GB2312" w:eastAsia="仿宋_GB2312" w:cs="仿宋_GB2312"/>
          <w:sz w:val="32"/>
          <w:szCs w:val="32"/>
        </w:rPr>
        <w:t>万元，完成预算的</w:t>
      </w:r>
      <w:r>
        <w:rPr>
          <w:rFonts w:hint="eastAsia" w:ascii="仿宋_GB2312" w:hAnsi="仿宋_GB2312" w:eastAsia="仿宋_GB2312" w:cs="仿宋_GB2312"/>
          <w:sz w:val="32"/>
          <w:szCs w:val="32"/>
        </w:rPr>
        <w:t>18.17</w:t>
      </w:r>
      <w:r>
        <w:rPr>
          <w:rFonts w:ascii="仿宋_GB2312" w:hAnsi="仿宋_GB2312" w:eastAsia="仿宋_GB2312" w:cs="仿宋_GB2312"/>
          <w:sz w:val="32"/>
          <w:szCs w:val="32"/>
        </w:rPr>
        <w:t>%，其中：</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因公出国（境）费</w:t>
      </w:r>
      <w:r>
        <w:rPr>
          <w:rFonts w:hint="eastAsia" w:ascii="仿宋_GB2312" w:hAnsi="仿宋_GB2312" w:eastAsia="仿宋_GB2312" w:cs="仿宋_GB2312"/>
          <w:b/>
          <w:sz w:val="32"/>
          <w:szCs w:val="32"/>
        </w:rPr>
        <w:t>：</w:t>
      </w:r>
      <w:r>
        <w:rPr>
          <w:rFonts w:ascii="仿宋_GB2312" w:hAnsi="仿宋_GB2312" w:eastAsia="仿宋_GB2312" w:cs="仿宋_GB2312"/>
          <w:sz w:val="32"/>
          <w:szCs w:val="32"/>
        </w:rPr>
        <w:t>支出预算</w:t>
      </w:r>
      <w:r>
        <w:rPr>
          <w:rFonts w:hint="eastAsia" w:ascii="仿宋_GB2312" w:hAnsi="仿宋_GB2312" w:eastAsia="仿宋_GB2312" w:cs="仿宋_GB2312"/>
          <w:sz w:val="32"/>
          <w:szCs w:val="32"/>
        </w:rPr>
        <w:t>无，支出决算无，与上年一致</w:t>
      </w:r>
      <w:r>
        <w:rPr>
          <w:rFonts w:ascii="仿宋_GB2312" w:hAnsi="仿宋_GB2312" w:eastAsia="仿宋_GB2312" w:cs="仿宋_GB2312"/>
          <w:sz w:val="32"/>
          <w:szCs w:val="32"/>
        </w:rPr>
        <w:t>。</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公务接待费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支出预算为</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万元，支出决算为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万元，完成预算的</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rPr>
        <w:t>中心公务接待任务较少且严格执行公务接待相关规定。</w:t>
      </w:r>
      <w:r>
        <w:rPr>
          <w:rFonts w:ascii="仿宋_GB2312" w:hAnsi="仿宋_GB2312" w:eastAsia="仿宋_GB2312" w:cs="仿宋_GB2312"/>
          <w:sz w:val="32"/>
          <w:szCs w:val="32"/>
        </w:rPr>
        <w:t>与上年相比减少</w:t>
      </w:r>
      <w:r>
        <w:rPr>
          <w:rFonts w:hint="eastAsia" w:ascii="仿宋_GB2312" w:hAnsi="仿宋_GB2312" w:eastAsia="仿宋_GB2312" w:cs="仿宋_GB2312"/>
          <w:sz w:val="32"/>
          <w:szCs w:val="32"/>
        </w:rPr>
        <w:t>0.11</w:t>
      </w:r>
      <w:r>
        <w:rPr>
          <w:rFonts w:ascii="仿宋_GB2312" w:hAnsi="仿宋_GB2312" w:eastAsia="仿宋_GB2312" w:cs="仿宋_GB2312"/>
          <w:sz w:val="32"/>
          <w:szCs w:val="32"/>
        </w:rPr>
        <w:t>万元，减少</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%，减少的主要原因是</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八项规定</w:t>
      </w:r>
      <w:r>
        <w:rPr>
          <w:rFonts w:hint="eastAsia" w:ascii="仿宋_GB2312" w:hAnsi="仿宋_GB2312" w:eastAsia="仿宋_GB2312" w:cs="仿宋_GB2312"/>
          <w:sz w:val="32"/>
          <w:szCs w:val="32"/>
        </w:rPr>
        <w:t>和厉行节约的原则，严控公务接待事宜及标准，压缩和规范接待所致。</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公务用车购置费及运行维护费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支出预算为</w:t>
      </w:r>
      <w:r>
        <w:rPr>
          <w:rFonts w:hint="eastAsia" w:ascii="仿宋_GB2312" w:hAnsi="仿宋_GB2312" w:eastAsia="仿宋_GB2312" w:cs="仿宋_GB2312"/>
          <w:sz w:val="32"/>
          <w:szCs w:val="32"/>
        </w:rPr>
        <w:t>13</w:t>
      </w:r>
      <w:r>
        <w:rPr>
          <w:rFonts w:ascii="仿宋_GB2312" w:hAnsi="仿宋_GB2312" w:eastAsia="仿宋_GB2312" w:cs="仿宋_GB2312"/>
          <w:sz w:val="32"/>
          <w:szCs w:val="32"/>
        </w:rPr>
        <w:t>万元，支出决算为</w:t>
      </w:r>
      <w:r>
        <w:rPr>
          <w:rFonts w:hint="eastAsia" w:ascii="仿宋_GB2312" w:hAnsi="仿宋_GB2312" w:eastAsia="仿宋_GB2312" w:cs="仿宋_GB2312"/>
          <w:sz w:val="32"/>
          <w:szCs w:val="32"/>
        </w:rPr>
        <w:t>4.18</w:t>
      </w:r>
      <w:r>
        <w:rPr>
          <w:rFonts w:ascii="仿宋_GB2312" w:hAnsi="仿宋_GB2312" w:eastAsia="仿宋_GB2312" w:cs="仿宋_GB2312"/>
          <w:sz w:val="32"/>
          <w:szCs w:val="32"/>
        </w:rPr>
        <w:t>万元，完成预算的</w:t>
      </w:r>
      <w:r>
        <w:rPr>
          <w:rFonts w:hint="eastAsia" w:ascii="仿宋_GB2312" w:hAnsi="仿宋_GB2312" w:eastAsia="仿宋_GB2312" w:cs="仿宋_GB2312"/>
          <w:sz w:val="32"/>
          <w:szCs w:val="32"/>
        </w:rPr>
        <w:t>32.15</w:t>
      </w:r>
      <w:r>
        <w:rPr>
          <w:rFonts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rPr>
        <w:t>严格执行公务用车相关管理规定且根据事业单位公车改革的规定，封存车辆1台。</w:t>
      </w:r>
      <w:r>
        <w:rPr>
          <w:rFonts w:ascii="仿宋_GB2312" w:hAnsi="仿宋_GB2312" w:eastAsia="仿宋_GB2312" w:cs="仿宋_GB2312"/>
          <w:sz w:val="32"/>
          <w:szCs w:val="32"/>
        </w:rPr>
        <w:t>与上年相比</w:t>
      </w:r>
      <w:r>
        <w:rPr>
          <w:rFonts w:hint="eastAsia" w:ascii="仿宋_GB2312" w:hAnsi="仿宋_GB2312" w:eastAsia="仿宋_GB2312" w:cs="仿宋_GB2312"/>
          <w:sz w:val="32"/>
          <w:szCs w:val="32"/>
        </w:rPr>
        <w:t>减少3.57</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减少46.06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减少</w:t>
      </w:r>
      <w:r>
        <w:rPr>
          <w:rFonts w:ascii="仿宋_GB2312" w:hAnsi="仿宋_GB2312" w:eastAsia="仿宋_GB2312" w:cs="仿宋_GB2312"/>
          <w:sz w:val="32"/>
          <w:szCs w:val="32"/>
        </w:rPr>
        <w:t>主要原因是</w:t>
      </w:r>
      <w:r>
        <w:rPr>
          <w:rFonts w:hint="eastAsia" w:ascii="仿宋_GB2312" w:hAnsi="仿宋_GB2312" w:eastAsia="仿宋_GB2312" w:cs="仿宋_GB2312"/>
          <w:sz w:val="32"/>
          <w:szCs w:val="32"/>
        </w:rPr>
        <w:t>车辆保有量减少。</w:t>
      </w:r>
    </w:p>
    <w:p>
      <w:pPr>
        <w:autoSpaceDE w:val="0"/>
        <w:spacing w:line="560" w:lineRule="exact"/>
        <w:ind w:firstLine="640" w:firstLineChars="200"/>
        <w:rPr>
          <w:rFonts w:ascii="楷体" w:hAnsi="楷体" w:eastAsia="楷体" w:cs="仿宋_GB2312"/>
          <w:sz w:val="32"/>
          <w:szCs w:val="32"/>
        </w:rPr>
      </w:pPr>
      <w:r>
        <w:rPr>
          <w:rFonts w:ascii="楷体" w:hAnsi="楷体" w:eastAsia="楷体" w:cs="仿宋_GB2312"/>
          <w:sz w:val="32"/>
          <w:szCs w:val="32"/>
        </w:rPr>
        <w:t>（二）“三公”经费财政拨款支出决算具体情况说明</w:t>
      </w:r>
    </w:p>
    <w:p>
      <w:pPr>
        <w:autoSpaceDE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年度“三公”经费财政拨款支出决算中，公务接待费支出决算</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sz w:val="32"/>
          <w:szCs w:val="32"/>
        </w:rPr>
        <w:t>4.18</w:t>
      </w:r>
      <w:r>
        <w:rPr>
          <w:rFonts w:ascii="仿宋_GB2312" w:hAnsi="仿宋_GB2312" w:eastAsia="仿宋_GB2312" w:cs="仿宋_GB2312"/>
          <w:sz w:val="32"/>
          <w:szCs w:val="32"/>
        </w:rPr>
        <w:t>万元，占</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%。其中：</w:t>
      </w:r>
    </w:p>
    <w:p>
      <w:pPr>
        <w:autoSpaceDE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因公出国（境）费</w:t>
      </w:r>
      <w:r>
        <w:rPr>
          <w:rFonts w:hint="eastAsia" w:ascii="仿宋_GB2312" w:hAnsi="仿宋_GB2312" w:eastAsia="仿宋_GB2312" w:cs="仿宋_GB2312"/>
          <w:b/>
          <w:sz w:val="32"/>
          <w:szCs w:val="32"/>
        </w:rPr>
        <w:t>：</w:t>
      </w:r>
      <w:r>
        <w:rPr>
          <w:rFonts w:ascii="仿宋_GB2312" w:hAnsi="仿宋_GB2312" w:eastAsia="仿宋_GB2312" w:cs="仿宋_GB2312"/>
          <w:sz w:val="32"/>
          <w:szCs w:val="32"/>
        </w:rPr>
        <w:t>支出决算</w:t>
      </w:r>
      <w:r>
        <w:rPr>
          <w:rFonts w:hint="eastAsia" w:ascii="仿宋_GB2312" w:hAnsi="仿宋_GB2312" w:eastAsia="仿宋_GB2312" w:cs="仿宋_GB2312"/>
          <w:sz w:val="32"/>
          <w:szCs w:val="32"/>
        </w:rPr>
        <w:t>无。</w:t>
      </w:r>
    </w:p>
    <w:p>
      <w:pPr>
        <w:autoSpaceDE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公务接待费</w:t>
      </w:r>
      <w:r>
        <w:rPr>
          <w:rFonts w:hint="eastAsia" w:ascii="仿宋_GB2312" w:hAnsi="仿宋_GB2312" w:eastAsia="仿宋_GB2312" w:cs="仿宋_GB2312"/>
          <w:b/>
          <w:sz w:val="32"/>
          <w:szCs w:val="32"/>
        </w:rPr>
        <w:t>：</w:t>
      </w:r>
      <w:r>
        <w:rPr>
          <w:rFonts w:ascii="仿宋_GB2312" w:hAnsi="仿宋_GB2312" w:eastAsia="仿宋_GB2312" w:cs="仿宋_GB2312"/>
          <w:sz w:val="32"/>
          <w:szCs w:val="32"/>
        </w:rPr>
        <w:t>支出决算</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w:t>
      </w:r>
    </w:p>
    <w:p>
      <w:pPr>
        <w:autoSpaceDE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公务用车购置费及运行维护费</w:t>
      </w:r>
      <w:r>
        <w:rPr>
          <w:rFonts w:hint="eastAsia" w:ascii="仿宋_GB2312" w:hAnsi="仿宋_GB2312" w:eastAsia="仿宋_GB2312" w:cs="仿宋_GB2312"/>
          <w:b/>
          <w:sz w:val="32"/>
          <w:szCs w:val="32"/>
        </w:rPr>
        <w:t>：</w:t>
      </w:r>
      <w:r>
        <w:rPr>
          <w:rFonts w:ascii="仿宋_GB2312" w:hAnsi="仿宋_GB2312" w:eastAsia="仿宋_GB2312" w:cs="仿宋_GB2312"/>
          <w:sz w:val="32"/>
          <w:szCs w:val="32"/>
        </w:rPr>
        <w:t>支出决算为</w:t>
      </w:r>
      <w:r>
        <w:rPr>
          <w:rFonts w:hint="eastAsia" w:ascii="仿宋_GB2312" w:hAnsi="仿宋_GB2312" w:eastAsia="仿宋_GB2312" w:cs="仿宋_GB2312"/>
          <w:sz w:val="32"/>
          <w:szCs w:val="32"/>
        </w:rPr>
        <w:t>4.18</w:t>
      </w:r>
      <w:r>
        <w:rPr>
          <w:rFonts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rPr>
        <w:t>4.18</w:t>
      </w:r>
      <w:r>
        <w:rPr>
          <w:rFonts w:ascii="仿宋_GB2312" w:hAnsi="仿宋_GB2312" w:eastAsia="仿宋_GB2312" w:cs="仿宋_GB2312"/>
          <w:sz w:val="32"/>
          <w:szCs w:val="32"/>
        </w:rPr>
        <w:t>万元，主要是</w:t>
      </w:r>
      <w:r>
        <w:rPr>
          <w:rFonts w:hint="eastAsia" w:ascii="仿宋_GB2312" w:hAnsi="仿宋_GB2312" w:eastAsia="仿宋_GB2312" w:cs="仿宋_GB2312"/>
          <w:sz w:val="32"/>
          <w:szCs w:val="32"/>
        </w:rPr>
        <w:t>机动车交通事故责任强制保险、车辆商业保险、油料费、过桥过路费、维修保养等</w:t>
      </w:r>
      <w:r>
        <w:rPr>
          <w:rFonts w:ascii="仿宋_GB2312" w:hAnsi="仿宋_GB2312" w:eastAsia="仿宋_GB2312" w:cs="仿宋_GB2312"/>
          <w:sz w:val="32"/>
          <w:szCs w:val="32"/>
        </w:rPr>
        <w:t>支出，截止20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年12月31日，我单位开支财政拨款的公务用车保有量为</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辆</w:t>
      </w:r>
      <w:r>
        <w:rPr>
          <w:rFonts w:hint="eastAsia" w:ascii="仿宋_GB2312" w:hAnsi="仿宋_GB2312" w:eastAsia="仿宋_GB2312" w:cs="仿宋_GB2312"/>
          <w:sz w:val="32"/>
          <w:szCs w:val="32"/>
        </w:rPr>
        <w:t>（含封存1辆）</w:t>
      </w:r>
      <w:r>
        <w:rPr>
          <w:rFonts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ascii="黑体" w:hAnsi="黑体" w:eastAsia="黑体" w:cs="仿宋_GB2312"/>
          <w:sz w:val="32"/>
          <w:szCs w:val="32"/>
        </w:rPr>
        <w:t>八、政府性基金预算收入支出决算情况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w:t>
      </w:r>
      <w:r>
        <w:rPr>
          <w:rFonts w:ascii="仿宋_GB2312" w:hAnsi="仿宋_GB2312" w:eastAsia="仿宋_GB2312" w:cs="仿宋_GB2312"/>
          <w:sz w:val="32"/>
          <w:szCs w:val="32"/>
        </w:rPr>
        <w:t>无政府性基金收支</w:t>
      </w:r>
      <w:r>
        <w:rPr>
          <w:rFonts w:hint="eastAsia"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九、国有资本经营预算财政拨款支出决算情况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2020年度无国有资本经营预算财政拨款支出。</w:t>
      </w:r>
    </w:p>
    <w:p>
      <w:pPr>
        <w:autoSpaceDE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十、关于机关运行经费支出说明</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本中心2020年度机关运行经费支出86.88万元，比年初预算数减少41.12万元，减少32.13%。主要原因是：深入贯彻落实过紧日子要求，坚决压减一般性支出，日常公用经费支出减少。</w:t>
      </w:r>
    </w:p>
    <w:p>
      <w:pPr>
        <w:autoSpaceDE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十一、一般性支出情况</w:t>
      </w:r>
    </w:p>
    <w:p>
      <w:pPr>
        <w:autoSpaceDE w:val="0"/>
        <w:spacing w:line="56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（一）会议费</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2020年本中心无会议费支出；</w:t>
      </w:r>
    </w:p>
    <w:p>
      <w:pPr>
        <w:autoSpaceDE w:val="0"/>
        <w:spacing w:line="56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（二）培训费</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2020年本中心开支</w:t>
      </w:r>
      <w:r>
        <w:rPr>
          <w:rFonts w:ascii="仿宋_GB2312" w:hAnsi="仿宋_GB2312" w:eastAsia="仿宋_GB2312" w:cs="仿宋_GB2312"/>
          <w:sz w:val="32"/>
          <w:szCs w:val="32"/>
        </w:rPr>
        <w:t>培训费</w:t>
      </w:r>
      <w:r>
        <w:rPr>
          <w:rFonts w:hint="eastAsia" w:ascii="仿宋_GB2312" w:hAnsi="仿宋_GB2312" w:eastAsia="仿宋_GB2312" w:cs="仿宋_GB2312"/>
          <w:sz w:val="32"/>
          <w:szCs w:val="32"/>
        </w:rPr>
        <w:t>3.46</w:t>
      </w:r>
      <w:r>
        <w:rPr>
          <w:rFonts w:ascii="仿宋_GB2312" w:hAnsi="仿宋_GB2312" w:eastAsia="仿宋_GB2312" w:cs="仿宋_GB2312"/>
          <w:sz w:val="32"/>
          <w:szCs w:val="32"/>
        </w:rPr>
        <w:t>万元，用于</w:t>
      </w:r>
      <w:r>
        <w:rPr>
          <w:rFonts w:hint="eastAsia" w:ascii="仿宋_GB2312" w:hAnsi="仿宋_GB2312" w:eastAsia="仿宋_GB2312" w:cs="仿宋_GB2312"/>
          <w:sz w:val="32"/>
          <w:szCs w:val="32"/>
        </w:rPr>
        <w:t>：</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1.财务管理专题培训：</w:t>
      </w:r>
      <w:r>
        <w:rPr>
          <w:rFonts w:hint="eastAsia" w:ascii="仿宋_GB2312" w:hAnsi="仿宋_GB2312" w:eastAsia="仿宋_GB2312" w:cs="仿宋_GB2312"/>
          <w:sz w:val="32"/>
          <w:szCs w:val="32"/>
        </w:rPr>
        <w:t>“新预算法实施条例下政府会计应用实务与重点领域预算绩效管理研修班”财务与管理专题培训0.74万元，人数1人。</w:t>
      </w:r>
    </w:p>
    <w:p>
      <w:pPr>
        <w:autoSpaceDE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2.党员学习教育培训：</w:t>
      </w:r>
      <w:r>
        <w:rPr>
          <w:rFonts w:hint="eastAsia" w:ascii="仿宋_GB2312" w:hAnsi="仿宋_GB2312" w:eastAsia="仿宋_GB2312" w:cs="仿宋_GB2312"/>
          <w:sz w:val="32"/>
          <w:szCs w:val="32"/>
        </w:rPr>
        <w:t xml:space="preserve"> “学习</w:t>
      </w:r>
      <w:r>
        <w:rPr>
          <w:rFonts w:hint="eastAsia" w:ascii="仿宋_GB2312" w:hAnsi="仿宋_GB2312" w:eastAsia="仿宋_GB2312" w:cs="仿宋_GB2312"/>
          <w:sz w:val="32"/>
          <w:szCs w:val="32"/>
          <w:lang w:eastAsia="zh-CN"/>
        </w:rPr>
        <w:t>习近平</w:t>
      </w:r>
      <w:r>
        <w:rPr>
          <w:rFonts w:hint="eastAsia" w:ascii="仿宋_GB2312" w:hAnsi="仿宋_GB2312" w:eastAsia="仿宋_GB2312" w:cs="仿宋_GB2312"/>
          <w:sz w:val="32"/>
          <w:szCs w:val="32"/>
        </w:rPr>
        <w:t>总书记重要讲话精神，走好新时代长征路” 红色教育基地学习</w:t>
      </w:r>
      <w:r>
        <w:rPr>
          <w:rFonts w:ascii="仿宋_GB2312" w:hAnsi="仿宋_GB2312" w:eastAsia="仿宋_GB2312" w:cs="仿宋_GB2312"/>
          <w:sz w:val="32"/>
          <w:szCs w:val="32"/>
        </w:rPr>
        <w:t>培训</w:t>
      </w:r>
      <w:r>
        <w:rPr>
          <w:rFonts w:hint="eastAsia" w:ascii="仿宋_GB2312" w:hAnsi="仿宋_GB2312" w:eastAsia="仿宋_GB2312" w:cs="仿宋_GB2312"/>
          <w:sz w:val="32"/>
          <w:szCs w:val="32"/>
        </w:rPr>
        <w:t>1.76万元</w:t>
      </w:r>
      <w:r>
        <w:rPr>
          <w:rFonts w:ascii="仿宋_GB2312" w:hAnsi="仿宋_GB2312" w:eastAsia="仿宋_GB2312" w:cs="仿宋_GB2312"/>
          <w:sz w:val="32"/>
          <w:szCs w:val="32"/>
        </w:rPr>
        <w:t>，人数</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；“牢牢把握意识形态工作领导权”意识形态专题</w:t>
      </w:r>
      <w:r>
        <w:rPr>
          <w:rFonts w:ascii="仿宋_GB2312" w:hAnsi="仿宋_GB2312" w:eastAsia="仿宋_GB2312" w:cs="仿宋_GB2312"/>
          <w:sz w:val="32"/>
          <w:szCs w:val="32"/>
        </w:rPr>
        <w:t>培训</w:t>
      </w:r>
      <w:r>
        <w:rPr>
          <w:rFonts w:hint="eastAsia" w:ascii="仿宋_GB2312" w:hAnsi="仿宋_GB2312" w:eastAsia="仿宋_GB2312" w:cs="仿宋_GB2312"/>
          <w:sz w:val="32"/>
          <w:szCs w:val="32"/>
        </w:rPr>
        <w:t>0.2万元</w:t>
      </w:r>
      <w:r>
        <w:rPr>
          <w:rFonts w:ascii="仿宋_GB2312" w:hAnsi="仿宋_GB2312" w:eastAsia="仿宋_GB2312" w:cs="仿宋_GB2312"/>
          <w:sz w:val="32"/>
          <w:szCs w:val="32"/>
        </w:rPr>
        <w:t>，人数</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；“英雄的红军伟大的党”主题党课培训0.2万元</w:t>
      </w:r>
      <w:r>
        <w:rPr>
          <w:rFonts w:ascii="仿宋_GB2312" w:hAnsi="仿宋_GB2312" w:eastAsia="仿宋_GB2312" w:cs="仿宋_GB2312"/>
          <w:sz w:val="32"/>
          <w:szCs w:val="32"/>
        </w:rPr>
        <w:t>，人数</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；“健康长久-细胞与生命”新兴产业专题讲座</w:t>
      </w:r>
      <w:r>
        <w:rPr>
          <w:rFonts w:ascii="仿宋_GB2312" w:hAnsi="仿宋_GB2312" w:eastAsia="仿宋_GB2312" w:cs="仿宋_GB2312"/>
          <w:sz w:val="32"/>
          <w:szCs w:val="32"/>
        </w:rPr>
        <w:t>培训</w:t>
      </w:r>
      <w:r>
        <w:rPr>
          <w:rFonts w:hint="eastAsia" w:ascii="仿宋_GB2312" w:hAnsi="仿宋_GB2312" w:eastAsia="仿宋_GB2312" w:cs="仿宋_GB2312"/>
          <w:sz w:val="32"/>
          <w:szCs w:val="32"/>
        </w:rPr>
        <w:t>0.20万元</w:t>
      </w:r>
      <w:r>
        <w:rPr>
          <w:rFonts w:ascii="仿宋_GB2312" w:hAnsi="仿宋_GB2312" w:eastAsia="仿宋_GB2312" w:cs="仿宋_GB2312"/>
          <w:sz w:val="32"/>
          <w:szCs w:val="32"/>
        </w:rPr>
        <w:t>，人数</w:t>
      </w:r>
      <w:r>
        <w:rPr>
          <w:rFonts w:hint="eastAsia" w:ascii="仿宋_GB2312" w:hAnsi="仿宋_GB2312" w:eastAsia="仿宋_GB2312" w:cs="仿宋_GB2312"/>
          <w:sz w:val="32"/>
          <w:szCs w:val="32"/>
        </w:rPr>
        <w:t>23</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；“书香致远-阅读人生”读书分享学习0.36万元</w:t>
      </w:r>
      <w:r>
        <w:rPr>
          <w:rFonts w:ascii="仿宋_GB2312" w:hAnsi="仿宋_GB2312" w:eastAsia="仿宋_GB2312" w:cs="仿宋_GB2312"/>
          <w:sz w:val="32"/>
          <w:szCs w:val="32"/>
        </w:rPr>
        <w:t>，人数</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十二、关于政府采购支出说明</w:t>
      </w:r>
      <w:bookmarkStart w:id="2" w:name="_GoBack"/>
      <w:bookmarkEnd w:id="2"/>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本部门2020年度政府采购支出总额3万元，其中：政府采购货物支出3万元，</w:t>
      </w:r>
      <w:r>
        <w:rPr>
          <w:rFonts w:ascii="仿宋_GB2312" w:hAnsi="仿宋_GB2312" w:eastAsia="仿宋_GB2312" w:cs="仿宋_GB2312"/>
          <w:sz w:val="32"/>
          <w:szCs w:val="32"/>
        </w:rPr>
        <w:t>政府采购工程支出</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、政府采购服务支出</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。授予中小企业合同金额</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十三、关于国有资产占用情况说明</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截至2020年12月31日，本中心共有车辆2辆（含封存1辆），</w:t>
      </w:r>
      <w:r>
        <w:rPr>
          <w:rFonts w:ascii="仿宋_GB2312" w:hAnsi="仿宋_GB2312" w:eastAsia="仿宋_GB2312" w:cs="仿宋_GB2312"/>
          <w:sz w:val="32"/>
          <w:szCs w:val="32"/>
        </w:rPr>
        <w:t>其中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领导干部用车</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、机要通信用车</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、应急保障用车</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、执法执勤用车</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、特种专业技术用车</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、其他用车</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辆，其他用车主要是</w:t>
      </w:r>
      <w:r>
        <w:rPr>
          <w:rFonts w:hint="eastAsia" w:ascii="仿宋_GB2312" w:hAnsi="仿宋_GB2312" w:eastAsia="仿宋_GB2312" w:cs="仿宋_GB2312"/>
          <w:sz w:val="32"/>
          <w:szCs w:val="32"/>
        </w:rPr>
        <w:t>用于储备地踏勘、管护和耕地指标工作对接（市区外）等</w:t>
      </w:r>
      <w:r>
        <w:rPr>
          <w:rFonts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w:t>
      </w:r>
    </w:p>
    <w:p>
      <w:pPr>
        <w:autoSpaceDE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十四</w:t>
      </w:r>
      <w:r>
        <w:rPr>
          <w:rFonts w:ascii="黑体" w:hAnsi="黑体" w:eastAsia="黑体" w:cs="仿宋_GB2312"/>
          <w:sz w:val="32"/>
          <w:szCs w:val="32"/>
        </w:rPr>
        <w:t>、关于20</w:t>
      </w:r>
      <w:r>
        <w:rPr>
          <w:rFonts w:hint="eastAsia" w:ascii="黑体" w:hAnsi="黑体" w:eastAsia="黑体" w:cs="仿宋_GB2312"/>
          <w:sz w:val="32"/>
          <w:szCs w:val="32"/>
        </w:rPr>
        <w:t>20</w:t>
      </w:r>
      <w:r>
        <w:rPr>
          <w:rFonts w:ascii="黑体" w:hAnsi="黑体" w:eastAsia="黑体" w:cs="仿宋_GB2312"/>
          <w:sz w:val="32"/>
          <w:szCs w:val="32"/>
        </w:rPr>
        <w:t>年度预算绩效情况</w:t>
      </w:r>
      <w:r>
        <w:rPr>
          <w:rFonts w:hint="eastAsia" w:ascii="黑体" w:hAnsi="黑体" w:eastAsia="黑体" w:cs="仿宋_GB2312"/>
          <w:sz w:val="32"/>
          <w:szCs w:val="32"/>
        </w:rPr>
        <w:t>的</w:t>
      </w:r>
      <w:r>
        <w:rPr>
          <w:rFonts w:ascii="黑体" w:hAnsi="黑体" w:eastAsia="黑体" w:cs="仿宋_GB2312"/>
          <w:sz w:val="32"/>
          <w:szCs w:val="32"/>
        </w:rPr>
        <w:t>说明</w:t>
      </w:r>
    </w:p>
    <w:p>
      <w:pPr>
        <w:autoSpaceDE w:val="0"/>
        <w:spacing w:line="56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（一）预算绩效管理工作开展情况</w:t>
      </w: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1.细化绩效目标</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结合上年度绩效评价“部门绩效目标申报待完善”问题整改契机，针对土地储备</w:t>
      </w:r>
      <w:r>
        <w:rPr>
          <w:rFonts w:ascii="仿宋_GB2312" w:hAnsi="仿宋_GB2312" w:eastAsia="仿宋_GB2312" w:cs="仿宋_GB2312"/>
          <w:sz w:val="32"/>
          <w:szCs w:val="32"/>
        </w:rPr>
        <w:t>中心项目支出数额大、范围广</w:t>
      </w:r>
      <w:r>
        <w:rPr>
          <w:rFonts w:hint="eastAsia" w:ascii="仿宋_GB2312" w:hAnsi="仿宋_GB2312" w:eastAsia="仿宋_GB2312" w:cs="仿宋_GB2312"/>
          <w:sz w:val="32"/>
          <w:szCs w:val="32"/>
        </w:rPr>
        <w:t>的特点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w:t>
      </w:r>
      <w:r>
        <w:rPr>
          <w:rFonts w:ascii="仿宋_GB2312" w:hAnsi="仿宋_GB2312" w:eastAsia="仿宋_GB2312" w:cs="仿宋_GB2312"/>
          <w:sz w:val="32"/>
          <w:szCs w:val="32"/>
        </w:rPr>
        <w:t>项目预算金额、覆盖范围、工作数量综合设置</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绩效目标</w:t>
      </w:r>
      <w:r>
        <w:rPr>
          <w:rFonts w:hint="eastAsia" w:ascii="仿宋_GB2312" w:hAnsi="仿宋_GB2312" w:eastAsia="仿宋_GB2312" w:cs="仿宋_GB2312"/>
          <w:sz w:val="32"/>
          <w:szCs w:val="32"/>
        </w:rPr>
        <w:t>。</w:t>
      </w: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2.强化预算管控</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认真组织开展了2020年度土地储备</w:t>
      </w:r>
      <w:r>
        <w:rPr>
          <w:rFonts w:ascii="仿宋_GB2312" w:hAnsi="仿宋_GB2312" w:eastAsia="仿宋_GB2312" w:cs="仿宋_GB2312"/>
          <w:sz w:val="32"/>
          <w:szCs w:val="32"/>
        </w:rPr>
        <w:t>中心</w:t>
      </w:r>
      <w:r>
        <w:rPr>
          <w:rFonts w:hint="eastAsia" w:ascii="仿宋_GB2312" w:hAnsi="仿宋_GB2312" w:eastAsia="仿宋_GB2312" w:cs="仿宋_GB2312"/>
          <w:sz w:val="32"/>
          <w:szCs w:val="32"/>
        </w:rPr>
        <w:t>预算管控。年初，在新区财政局相关部门的组织下，土地储备</w:t>
      </w:r>
      <w:r>
        <w:rPr>
          <w:rFonts w:ascii="仿宋_GB2312" w:hAnsi="仿宋_GB2312" w:eastAsia="仿宋_GB2312" w:cs="仿宋_GB2312"/>
          <w:sz w:val="32"/>
          <w:szCs w:val="32"/>
        </w:rPr>
        <w:t>中心</w:t>
      </w:r>
      <w:r>
        <w:rPr>
          <w:rFonts w:hint="eastAsia" w:ascii="仿宋_GB2312" w:hAnsi="仿宋_GB2312" w:eastAsia="仿宋_GB2312" w:cs="仿宋_GB2312"/>
          <w:sz w:val="32"/>
          <w:szCs w:val="32"/>
        </w:rPr>
        <w:t>遵照“坚持政府带头过“紧日子”，进一步压减一般性支出，持续严控“三公”经费，大力压缩非刚性、非重点项目支出，取消低效无效支出”的《2020年度预算编制通知》要求，按“二上二下”原则配合做好了部门预算编制申报、审定下达工作。年中，土地储备</w:t>
      </w:r>
      <w:r>
        <w:rPr>
          <w:rFonts w:ascii="仿宋_GB2312" w:hAnsi="仿宋_GB2312" w:eastAsia="仿宋_GB2312" w:cs="仿宋_GB2312"/>
          <w:sz w:val="32"/>
          <w:szCs w:val="32"/>
        </w:rPr>
        <w:t>中心</w:t>
      </w:r>
      <w:r>
        <w:rPr>
          <w:rFonts w:hint="eastAsia" w:ascii="仿宋_GB2312" w:hAnsi="仿宋_GB2312" w:eastAsia="仿宋_GB2312" w:cs="仿宋_GB2312"/>
          <w:sz w:val="32"/>
          <w:szCs w:val="32"/>
        </w:rPr>
        <w:t>根据预算执行实际情况，及时向新区财政申报了部门预算调整方案。年终，在坚持预算控制和会计精准核算的前提下，认真细致地做好了部门决算编制申报，会计账簿和年度部门决算真实记录和反映全年工作实际，预算管控到位。</w:t>
      </w: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3.优化资产监督</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在新区管委会财政局国资处组织下，土地储备</w:t>
      </w:r>
      <w:r>
        <w:rPr>
          <w:rFonts w:ascii="仿宋_GB2312" w:hAnsi="仿宋_GB2312" w:eastAsia="仿宋_GB2312" w:cs="仿宋_GB2312"/>
          <w:sz w:val="32"/>
          <w:szCs w:val="32"/>
        </w:rPr>
        <w:t>中心</w:t>
      </w:r>
      <w:r>
        <w:rPr>
          <w:rFonts w:hint="eastAsia" w:ascii="仿宋_GB2312" w:hAnsi="仿宋_GB2312" w:eastAsia="仿宋_GB2312" w:cs="仿宋_GB2312"/>
          <w:sz w:val="32"/>
          <w:szCs w:val="32"/>
        </w:rPr>
        <w:t>遵照新区管委会财政资产管理制度，国有资产实行了统一清查登记管理，闲置未使用资产做到了及时统一调度使用，政府采购预算编报及采购监督责任得到了进一步完善落实。2020年土地储备</w:t>
      </w:r>
      <w:r>
        <w:rPr>
          <w:rFonts w:ascii="仿宋_GB2312" w:hAnsi="仿宋_GB2312" w:eastAsia="仿宋_GB2312" w:cs="仿宋_GB2312"/>
          <w:sz w:val="32"/>
          <w:szCs w:val="32"/>
        </w:rPr>
        <w:t>中心</w:t>
      </w:r>
      <w:r>
        <w:rPr>
          <w:rFonts w:hint="eastAsia" w:ascii="仿宋_GB2312" w:hAnsi="仿宋_GB2312" w:eastAsia="仿宋_GB2312" w:cs="仿宋_GB2312"/>
          <w:sz w:val="32"/>
          <w:szCs w:val="32"/>
        </w:rPr>
        <w:t>8台办公用电脑调整由管委会统一集中采购，全年采购预算完成率30.29%。</w:t>
      </w:r>
    </w:p>
    <w:p>
      <w:pPr>
        <w:autoSpaceDE w:val="0"/>
        <w:spacing w:line="56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（二）部门决算整体绩效自评结果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中心对部门整体支出绩效开展了自评，自评覆盖率达100%，自评得分为98分，等级为“优”。绩效自评结果显示，我中心2020年度绩效目标完成情况较好，在预算编制、预算执行、预算管理等方面较好的支持了中心的工作发展。</w:t>
      </w:r>
    </w:p>
    <w:p>
      <w:pPr>
        <w:pStyle w:val="14"/>
        <w:spacing w:line="560" w:lineRule="exact"/>
        <w:jc w:val="center"/>
        <w:rPr>
          <w:rFonts w:hAnsi="黑体" w:cs="Times New Roman"/>
          <w:color w:val="auto"/>
          <w:sz w:val="60"/>
          <w:szCs w:val="60"/>
        </w:rPr>
      </w:pPr>
    </w:p>
    <w:p>
      <w:pPr>
        <w:pStyle w:val="14"/>
        <w:spacing w:line="560" w:lineRule="exact"/>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r>
        <w:rPr>
          <w:rFonts w:hAnsi="黑体" w:cs="Times New Roman"/>
          <w:color w:val="auto"/>
          <w:sz w:val="60"/>
          <w:szCs w:val="60"/>
        </w:rPr>
        <w:t>第四部分　名词解释</w:t>
      </w: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p>
    <w:p>
      <w:pPr>
        <w:autoSpaceDE w:val="0"/>
        <w:spacing w:line="560" w:lineRule="exact"/>
        <w:rPr>
          <w:rFonts w:ascii="仿宋_GB2312" w:hAnsi="仿宋_GB2312" w:eastAsia="仿宋_GB2312" w:cs="仿宋_GB2312"/>
          <w:b/>
          <w:sz w:val="32"/>
          <w:szCs w:val="32"/>
        </w:rPr>
      </w:pP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一、基本支出</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基本支出指单位为保障其机构正常运转、完成日常工作任务而发生的人员支出和公用支出。</w:t>
      </w: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二、项目支出</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项目支出指单位为完成特定行政任务和事业发展目标在基本支出之外所发生的支出。</w:t>
      </w: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三、“三公”经费</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指纳入长沙市财政预决算管理的“三公”经费，是指长沙市市直部门用财政拨款安排的因公出国（境）、公务用车购置及运行费和公务接待费，是党政机关维持运转或完成特定工作任务所开支的相关支出，是政府行政开支的一部分。其中，因公出国（境）费为反映单位公务出国（境）的国际旅费、国外城市间交通费、住宿费、伙食费、培训费、公杂费等支出；公务用车购置及运行费为反映单位公务用车车辆购置支出（含车辆购置税）及燃料费、维修费、过路过桥费、保险费、安全奖励费用等支出；公务接待费为反映单位按规定开支的各类公务接待（含外宾接待）支出。</w:t>
      </w:r>
    </w:p>
    <w:p>
      <w:pPr>
        <w:autoSpaceDE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四、机关运行经费</w:t>
      </w:r>
    </w:p>
    <w:p>
      <w:pPr>
        <w:autoSpaceDE w:val="0"/>
        <w:spacing w:line="560" w:lineRule="exact"/>
        <w:ind w:firstLine="640" w:firstLineChars="200"/>
        <w:rPr>
          <w:rFonts w:hAnsi="黑体" w:cs="Times New Roman"/>
          <w:sz w:val="60"/>
          <w:szCs w:val="60"/>
        </w:rPr>
      </w:pPr>
      <w:r>
        <w:rPr>
          <w:rFonts w:hint="eastAsia" w:ascii="仿宋_GB2312" w:hAnsi="仿宋_GB2312" w:eastAsia="仿宋_GB2312" w:cs="仿宋_GB2312"/>
          <w:sz w:val="32"/>
          <w:szCs w:val="32"/>
        </w:rPr>
        <w:t>机关运行经费指为保障单位（包括参照公务员管理的事业单位）运行，用一般公共预算拨款安排用于购买货物和服务的各项资金，包括办公及印刷费、邮电费、差旅费、会议费、福利费、日常维修费、办公用房水电费、办公用房取暖费、办公用房物业管理费、公务用车维护费以及其他费用。</w:t>
      </w: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r>
        <w:rPr>
          <w:rFonts w:hAnsi="黑体" w:cs="Times New Roman"/>
          <w:color w:val="auto"/>
          <w:sz w:val="60"/>
          <w:szCs w:val="60"/>
        </w:rPr>
        <w:t>第五部分　附　件</w:t>
      </w: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pStyle w:val="14"/>
        <w:spacing w:line="560" w:lineRule="exact"/>
        <w:jc w:val="center"/>
        <w:rPr>
          <w:rFonts w:hAnsi="黑体" w:cs="Times New Roman"/>
          <w:color w:val="auto"/>
          <w:sz w:val="60"/>
          <w:szCs w:val="60"/>
        </w:rPr>
      </w:pPr>
    </w:p>
    <w:p>
      <w:pPr>
        <w:spacing w:before="20" w:after="20"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湖南湘江新区</w:t>
      </w:r>
      <w:r>
        <w:rPr>
          <w:rFonts w:hint="eastAsia" w:ascii="Times New Roman" w:hAnsi="Times New Roman" w:eastAsia="方正小标宋简体"/>
          <w:sz w:val="44"/>
          <w:szCs w:val="44"/>
        </w:rPr>
        <w:t>土地储备</w:t>
      </w:r>
      <w:r>
        <w:rPr>
          <w:rFonts w:ascii="Times New Roman" w:hAnsi="Times New Roman" w:eastAsia="方正小标宋简体"/>
          <w:sz w:val="44"/>
          <w:szCs w:val="44"/>
        </w:rPr>
        <w:t>中心20</w:t>
      </w:r>
      <w:r>
        <w:rPr>
          <w:rFonts w:hint="eastAsia" w:ascii="Times New Roman" w:hAnsi="Times New Roman" w:eastAsia="方正小标宋简体"/>
          <w:sz w:val="44"/>
          <w:szCs w:val="44"/>
        </w:rPr>
        <w:t>20</w:t>
      </w:r>
      <w:r>
        <w:rPr>
          <w:rFonts w:ascii="Times New Roman" w:hAnsi="Times New Roman" w:eastAsia="方正小标宋简体"/>
          <w:sz w:val="44"/>
          <w:szCs w:val="44"/>
        </w:rPr>
        <w:t>年度</w:t>
      </w:r>
    </w:p>
    <w:p>
      <w:pPr>
        <w:spacing w:before="20" w:after="20"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部门整体支出绩效评价报告</w:t>
      </w:r>
    </w:p>
    <w:p>
      <w:pPr>
        <w:spacing w:before="20" w:after="20" w:line="560" w:lineRule="exact"/>
        <w:ind w:firstLine="600" w:firstLineChars="200"/>
        <w:rPr>
          <w:rFonts w:ascii="Times New Roman" w:hAnsi="Times New Roman" w:eastAsia="仿宋_GB2312"/>
          <w:spacing w:val="-10"/>
          <w:sz w:val="32"/>
          <w:szCs w:val="32"/>
          <w:lang w:val="zh-CN"/>
        </w:rPr>
      </w:pPr>
    </w:p>
    <w:p>
      <w:pPr>
        <w:spacing w:before="20" w:after="20" w:line="560" w:lineRule="exact"/>
        <w:ind w:firstLine="600" w:firstLineChars="200"/>
        <w:rPr>
          <w:rFonts w:ascii="Times New Roman" w:hAnsi="Times New Roman" w:eastAsia="仿宋_GB2312"/>
          <w:spacing w:val="-10"/>
          <w:sz w:val="32"/>
          <w:szCs w:val="32"/>
          <w:lang w:val="zh-CN"/>
        </w:rPr>
      </w:pPr>
      <w:r>
        <w:rPr>
          <w:rFonts w:ascii="Times New Roman" w:hAnsi="Times New Roman" w:eastAsia="仿宋_GB2312"/>
          <w:spacing w:val="-10"/>
          <w:sz w:val="32"/>
          <w:szCs w:val="32"/>
          <w:lang w:val="zh-CN"/>
        </w:rPr>
        <w:t>为规范和加强财政专项资金的管理，提高财政资金的使用绩效和管理水平，</w:t>
      </w:r>
      <w:r>
        <w:rPr>
          <w:rFonts w:hint="eastAsia" w:eastAsia="仿宋_GB2312"/>
          <w:sz w:val="32"/>
          <w:szCs w:val="32"/>
        </w:rPr>
        <w:t>根据</w:t>
      </w:r>
      <w:r>
        <w:rPr>
          <w:rFonts w:ascii="Times New Roman" w:hAnsi="Times New Roman" w:eastAsia="仿宋_GB2312" w:cs="Times New Roman"/>
          <w:sz w:val="32"/>
          <w:szCs w:val="32"/>
        </w:rPr>
        <w:t>《中华人民共和国预算法》《中共中央国务院关于全面实施预算绩效管理的意见》（中发〔2018〕34号）、《中共湖南省委办公厅 湖南省人民政府办公厅关于全面实施预算绩效管理的实施意见》（湘办发〔2019〕10号）、《</w:t>
      </w:r>
      <w:r>
        <w:rPr>
          <w:rFonts w:hint="eastAsia" w:ascii="Times New Roman" w:hAnsi="Times New Roman" w:eastAsia="仿宋_GB2312" w:cs="Times New Roman"/>
          <w:sz w:val="32"/>
          <w:szCs w:val="32"/>
        </w:rPr>
        <w:t>长沙市财政局关于印发</w:t>
      </w:r>
      <w:r>
        <w:rPr>
          <w:rFonts w:ascii="Times New Roman" w:hAnsi="Times New Roman" w:eastAsia="仿宋_GB2312" w:cs="Times New Roman"/>
          <w:sz w:val="32"/>
          <w:szCs w:val="32"/>
        </w:rPr>
        <w:t>&lt;长沙市市级预算部门（单位）整体支出和项目支出绩效管理办法（试行）&gt;的通知》（长财办〔2019〕24号）及《湖南湘江新区管理委员会财政局</w:t>
      </w:r>
      <w:r>
        <w:rPr>
          <w:rFonts w:hint="eastAsia" w:ascii="Times New Roman" w:hAnsi="Times New Roman" w:eastAsia="仿宋_GB2312" w:cs="Times New Roman"/>
          <w:sz w:val="32"/>
          <w:szCs w:val="32"/>
        </w:rPr>
        <w:t>（金融办）</w:t>
      </w:r>
      <w:r>
        <w:rPr>
          <w:rFonts w:ascii="Times New Roman" w:hAnsi="Times New Roman" w:eastAsia="仿宋_GB2312" w:cs="Times New Roman"/>
          <w:sz w:val="32"/>
          <w:szCs w:val="32"/>
        </w:rPr>
        <w:t>关于开展202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年财政支出重点绩效评价工作的通知》（湘新财发〔202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号）等文件精神</w:t>
      </w:r>
      <w:r>
        <w:rPr>
          <w:rFonts w:ascii="Times New Roman" w:hAnsi="Times New Roman" w:eastAsia="仿宋_GB2312"/>
          <w:spacing w:val="-10"/>
          <w:sz w:val="32"/>
          <w:szCs w:val="32"/>
          <w:lang w:val="zh-CN"/>
        </w:rPr>
        <w:t>，湖南湘江新区管理委员会财政局</w:t>
      </w:r>
      <w:r>
        <w:rPr>
          <w:rFonts w:hint="eastAsia" w:ascii="Times New Roman" w:hAnsi="Times New Roman" w:eastAsia="仿宋_GB2312"/>
          <w:spacing w:val="-10"/>
          <w:sz w:val="32"/>
          <w:szCs w:val="32"/>
          <w:lang w:val="zh-CN"/>
        </w:rPr>
        <w:t>（以下简称“新区财政局”）</w:t>
      </w:r>
      <w:r>
        <w:rPr>
          <w:rFonts w:ascii="Times New Roman" w:hAnsi="Times New Roman" w:eastAsia="仿宋_GB2312"/>
          <w:spacing w:val="-10"/>
          <w:sz w:val="32"/>
          <w:szCs w:val="32"/>
          <w:lang w:val="zh-CN"/>
        </w:rPr>
        <w:t>组建绩效评价工作组，本着独立、客观、公正、科学的原则，于</w:t>
      </w:r>
      <w:r>
        <w:rPr>
          <w:rFonts w:ascii="Times New Roman" w:hAnsi="Times New Roman" w:eastAsia="仿宋_GB2312"/>
          <w:spacing w:val="-10"/>
          <w:sz w:val="32"/>
          <w:szCs w:val="32"/>
        </w:rPr>
        <w:t>202</w:t>
      </w:r>
      <w:r>
        <w:rPr>
          <w:rFonts w:hint="eastAsia" w:ascii="Times New Roman" w:hAnsi="Times New Roman" w:eastAsia="仿宋_GB2312"/>
          <w:spacing w:val="-10"/>
          <w:sz w:val="32"/>
          <w:szCs w:val="32"/>
        </w:rPr>
        <w:t>1</w:t>
      </w:r>
      <w:r>
        <w:rPr>
          <w:rFonts w:ascii="Times New Roman" w:hAnsi="Times New Roman" w:eastAsia="仿宋_GB2312"/>
          <w:spacing w:val="-10"/>
          <w:sz w:val="32"/>
          <w:szCs w:val="32"/>
          <w:lang w:val="zh-CN"/>
        </w:rPr>
        <w:t>年</w:t>
      </w:r>
      <w:r>
        <w:rPr>
          <w:rFonts w:hint="eastAsia" w:ascii="Times New Roman" w:hAnsi="Times New Roman" w:eastAsia="仿宋_GB2312"/>
          <w:spacing w:val="-10"/>
          <w:sz w:val="32"/>
          <w:szCs w:val="32"/>
        </w:rPr>
        <w:t>8</w:t>
      </w:r>
      <w:r>
        <w:rPr>
          <w:rFonts w:ascii="Times New Roman" w:hAnsi="Times New Roman" w:eastAsia="仿宋_GB2312"/>
          <w:spacing w:val="-10"/>
          <w:sz w:val="32"/>
          <w:szCs w:val="32"/>
          <w:lang w:val="zh-CN"/>
        </w:rPr>
        <w:t>月对湖南湘江新区</w:t>
      </w:r>
      <w:r>
        <w:rPr>
          <w:rFonts w:hint="eastAsia" w:ascii="Times New Roman" w:hAnsi="Times New Roman" w:eastAsia="仿宋_GB2312"/>
          <w:spacing w:val="-10"/>
          <w:sz w:val="32"/>
          <w:szCs w:val="32"/>
          <w:lang w:val="zh-CN"/>
        </w:rPr>
        <w:t>土地储备</w:t>
      </w:r>
      <w:r>
        <w:rPr>
          <w:rFonts w:ascii="Times New Roman" w:hAnsi="Times New Roman" w:eastAsia="仿宋_GB2312"/>
          <w:spacing w:val="-10"/>
          <w:sz w:val="32"/>
          <w:szCs w:val="32"/>
          <w:lang w:val="zh-CN"/>
        </w:rPr>
        <w:t>中心</w:t>
      </w:r>
      <w:r>
        <w:rPr>
          <w:rFonts w:hint="eastAsia" w:ascii="Times New Roman" w:hAnsi="Times New Roman" w:eastAsia="仿宋_GB2312"/>
          <w:spacing w:val="-10"/>
          <w:sz w:val="32"/>
          <w:szCs w:val="32"/>
          <w:lang w:val="zh-CN"/>
        </w:rPr>
        <w:t>（</w:t>
      </w:r>
      <w:r>
        <w:rPr>
          <w:rFonts w:ascii="Times New Roman" w:hAnsi="Times New Roman" w:eastAsia="仿宋_GB2312"/>
          <w:spacing w:val="-10"/>
          <w:sz w:val="32"/>
          <w:szCs w:val="32"/>
          <w:lang w:val="zh-CN"/>
        </w:rPr>
        <w:t>以下简称“新区</w:t>
      </w:r>
      <w:r>
        <w:rPr>
          <w:rFonts w:hint="eastAsia" w:ascii="Times New Roman" w:hAnsi="Times New Roman" w:eastAsia="仿宋_GB2312"/>
          <w:spacing w:val="-10"/>
          <w:sz w:val="32"/>
          <w:szCs w:val="32"/>
          <w:lang w:val="zh-CN"/>
        </w:rPr>
        <w:t>土储</w:t>
      </w:r>
      <w:r>
        <w:rPr>
          <w:rFonts w:ascii="Times New Roman" w:hAnsi="Times New Roman" w:eastAsia="仿宋_GB2312"/>
          <w:spacing w:val="-10"/>
          <w:sz w:val="32"/>
          <w:szCs w:val="32"/>
          <w:lang w:val="zh-CN"/>
        </w:rPr>
        <w:t>中心”</w:t>
      </w:r>
      <w:r>
        <w:rPr>
          <w:rFonts w:hint="eastAsia" w:ascii="Times New Roman" w:hAnsi="Times New Roman" w:eastAsia="仿宋_GB2312"/>
          <w:spacing w:val="-10"/>
          <w:sz w:val="32"/>
          <w:szCs w:val="32"/>
          <w:lang w:val="zh-CN"/>
        </w:rPr>
        <w:t>）</w:t>
      </w:r>
      <w:r>
        <w:rPr>
          <w:rFonts w:ascii="Times New Roman" w:hAnsi="Times New Roman" w:eastAsia="仿宋_GB2312"/>
          <w:spacing w:val="-10"/>
          <w:sz w:val="32"/>
          <w:szCs w:val="32"/>
          <w:lang w:val="zh-CN"/>
        </w:rPr>
        <w:t>) 20</w:t>
      </w:r>
      <w:r>
        <w:rPr>
          <w:rFonts w:hint="eastAsia" w:ascii="Times New Roman" w:hAnsi="Times New Roman" w:eastAsia="仿宋_GB2312"/>
          <w:spacing w:val="-10"/>
          <w:sz w:val="32"/>
          <w:szCs w:val="32"/>
        </w:rPr>
        <w:t>20</w:t>
      </w:r>
      <w:r>
        <w:rPr>
          <w:rFonts w:ascii="Times New Roman" w:hAnsi="Times New Roman" w:eastAsia="仿宋_GB2312"/>
          <w:spacing w:val="-10"/>
          <w:sz w:val="32"/>
          <w:szCs w:val="32"/>
          <w:lang w:val="zh-CN"/>
        </w:rPr>
        <w:t>年度部门整体支出实施了绩效评价。评价主要采用查阅资料、比较、核对、定量和定性分析等方法，从新区</w:t>
      </w:r>
      <w:r>
        <w:rPr>
          <w:rFonts w:hint="eastAsia" w:ascii="Times New Roman" w:hAnsi="Times New Roman" w:eastAsia="仿宋_GB2312"/>
          <w:spacing w:val="-10"/>
          <w:sz w:val="32"/>
          <w:szCs w:val="32"/>
          <w:lang w:val="zh-CN"/>
        </w:rPr>
        <w:t>土储</w:t>
      </w:r>
      <w:r>
        <w:rPr>
          <w:rFonts w:ascii="Times New Roman" w:hAnsi="Times New Roman" w:eastAsia="仿宋_GB2312"/>
          <w:spacing w:val="-10"/>
          <w:sz w:val="32"/>
          <w:szCs w:val="32"/>
          <w:lang w:val="zh-CN"/>
        </w:rPr>
        <w:t>中心的机构设置、人员情况、主要职能、绩效目标、财政资金收支预算及支出情况、财务管理状况、部门履职情况等方面进行综合评价。现将评价结果报告如下：</w:t>
      </w:r>
    </w:p>
    <w:p>
      <w:pPr>
        <w:adjustRightInd w:val="0"/>
        <w:snapToGrid w:val="0"/>
        <w:spacing w:line="560" w:lineRule="exact"/>
        <w:ind w:firstLine="600" w:firstLineChars="200"/>
        <w:outlineLvl w:val="0"/>
        <w:rPr>
          <w:rFonts w:ascii="Times New Roman" w:hAnsi="Times New Roman" w:eastAsia="黑体" w:cs="Times New Roman"/>
          <w:spacing w:val="-10"/>
          <w:sz w:val="32"/>
          <w:szCs w:val="32"/>
        </w:rPr>
      </w:pPr>
      <w:r>
        <w:rPr>
          <w:rFonts w:ascii="Times New Roman" w:hAnsi="Times New Roman" w:eastAsia="黑体" w:cs="Times New Roman"/>
          <w:spacing w:val="-10"/>
          <w:sz w:val="32"/>
          <w:szCs w:val="32"/>
        </w:rPr>
        <w:t>一、部门概况</w:t>
      </w:r>
    </w:p>
    <w:p>
      <w:pPr>
        <w:adjustRightInd w:val="0"/>
        <w:snapToGrid w:val="0"/>
        <w:spacing w:line="560" w:lineRule="exact"/>
        <w:ind w:firstLine="603" w:firstLineChars="200"/>
        <w:outlineLvl w:val="1"/>
        <w:rPr>
          <w:rFonts w:ascii="Times New Roman" w:hAnsi="Times New Roman" w:eastAsia="楷体_GB2312" w:cs="Times New Roman"/>
          <w:b/>
          <w:bCs/>
          <w:spacing w:val="-10"/>
          <w:sz w:val="32"/>
          <w:szCs w:val="32"/>
        </w:rPr>
      </w:pPr>
      <w:r>
        <w:rPr>
          <w:rFonts w:ascii="Times New Roman" w:hAnsi="Times New Roman" w:eastAsia="楷体_GB2312" w:cs="Times New Roman"/>
          <w:b/>
          <w:bCs/>
          <w:spacing w:val="-10"/>
          <w:sz w:val="32"/>
          <w:szCs w:val="32"/>
        </w:rPr>
        <w:t>（一）部门基本情况</w:t>
      </w:r>
    </w:p>
    <w:p>
      <w:pPr>
        <w:adjustRightInd w:val="0"/>
        <w:snapToGrid w:val="0"/>
        <w:spacing w:line="560" w:lineRule="exact"/>
        <w:ind w:firstLine="603" w:firstLineChars="200"/>
        <w:outlineLvl w:val="0"/>
        <w:rPr>
          <w:rFonts w:ascii="Times New Roman" w:hAnsi="Times New Roman" w:eastAsia="仿宋_GB2312" w:cs="Times New Roman"/>
          <w:b/>
          <w:bCs/>
          <w:spacing w:val="-10"/>
          <w:sz w:val="32"/>
          <w:szCs w:val="32"/>
        </w:rPr>
      </w:pPr>
      <w:r>
        <w:rPr>
          <w:rFonts w:ascii="Times New Roman" w:hAnsi="Times New Roman" w:eastAsia="仿宋_GB2312" w:cs="Times New Roman"/>
          <w:b/>
          <w:bCs/>
          <w:spacing w:val="-10"/>
          <w:sz w:val="32"/>
          <w:szCs w:val="32"/>
        </w:rPr>
        <w:t>1.机构设置</w:t>
      </w:r>
    </w:p>
    <w:p>
      <w:pPr>
        <w:adjustRightInd w:val="0"/>
        <w:snapToGrid w:val="0"/>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新区土储中心系湖南湘江新区管理委员会所属的正处级一类事业单位，</w:t>
      </w:r>
      <w:r>
        <w:rPr>
          <w:rFonts w:ascii="Times New Roman" w:hAnsi="Times New Roman" w:eastAsia="仿宋_GB2312" w:cs="Times New Roman"/>
          <w:spacing w:val="-10"/>
          <w:sz w:val="32"/>
          <w:szCs w:val="32"/>
          <w:lang w:val="zh-CN"/>
        </w:rPr>
        <w:t>内设综合科、财务科、储备科、交易科、棚改科5个科室</w:t>
      </w:r>
      <w:r>
        <w:rPr>
          <w:rFonts w:ascii="Times New Roman" w:hAnsi="Times New Roman" w:eastAsia="仿宋_GB2312" w:cs="Times New Roman"/>
          <w:spacing w:val="-10"/>
          <w:sz w:val="32"/>
          <w:szCs w:val="32"/>
        </w:rPr>
        <w:t>。</w:t>
      </w:r>
    </w:p>
    <w:p>
      <w:pPr>
        <w:adjustRightInd w:val="0"/>
        <w:snapToGrid w:val="0"/>
        <w:spacing w:line="560" w:lineRule="exact"/>
        <w:ind w:firstLine="603" w:firstLineChars="200"/>
        <w:outlineLvl w:val="0"/>
        <w:rPr>
          <w:rFonts w:ascii="Times New Roman" w:hAnsi="Times New Roman" w:eastAsia="仿宋_GB2312" w:cs="Times New Roman"/>
          <w:b/>
          <w:bCs/>
          <w:spacing w:val="-10"/>
          <w:sz w:val="32"/>
          <w:szCs w:val="32"/>
        </w:rPr>
      </w:pPr>
      <w:r>
        <w:rPr>
          <w:rFonts w:ascii="Times New Roman" w:hAnsi="Times New Roman" w:eastAsia="仿宋_GB2312" w:cs="Times New Roman"/>
          <w:b/>
          <w:bCs/>
          <w:spacing w:val="-10"/>
          <w:sz w:val="32"/>
          <w:szCs w:val="32"/>
        </w:rPr>
        <w:t>2.人员情况</w:t>
      </w:r>
    </w:p>
    <w:p>
      <w:pPr>
        <w:pStyle w:val="5"/>
        <w:adjustRightInd w:val="0"/>
        <w:snapToGrid w:val="0"/>
        <w:spacing w:line="560" w:lineRule="exact"/>
        <w:ind w:firstLine="600" w:firstLineChars="200"/>
        <w:rPr>
          <w:rFonts w:ascii="Times New Roman" w:hAnsi="Times New Roman" w:eastAsia="仿宋_GB2312"/>
          <w:spacing w:val="-10"/>
          <w:sz w:val="32"/>
          <w:szCs w:val="32"/>
          <w:highlight w:val="yellow"/>
        </w:rPr>
      </w:pPr>
      <w:r>
        <w:rPr>
          <w:rFonts w:ascii="Times New Roman" w:hAnsi="Times New Roman" w:eastAsia="仿宋_GB2312"/>
          <w:spacing w:val="-10"/>
          <w:sz w:val="32"/>
          <w:szCs w:val="32"/>
        </w:rPr>
        <w:t>长编委发〔2016〕21号文件核定批复新区土储中心全额拨款事业编制21人，后长编办发〔2017〕85号文件新增全额拨款事业编制2名，共23名。截至20</w:t>
      </w:r>
      <w:r>
        <w:rPr>
          <w:rFonts w:hint="eastAsia" w:ascii="Times New Roman" w:hAnsi="Times New Roman" w:eastAsia="仿宋_GB2312"/>
          <w:spacing w:val="-10"/>
          <w:sz w:val="32"/>
          <w:szCs w:val="32"/>
        </w:rPr>
        <w:t>20</w:t>
      </w:r>
      <w:r>
        <w:rPr>
          <w:rFonts w:ascii="Times New Roman" w:hAnsi="Times New Roman" w:eastAsia="仿宋_GB2312"/>
          <w:spacing w:val="-10"/>
          <w:sz w:val="32"/>
          <w:szCs w:val="32"/>
        </w:rPr>
        <w:t>年12月31日，新区土储中心实际在岗人员</w:t>
      </w:r>
      <w:r>
        <w:rPr>
          <w:rFonts w:hint="eastAsia" w:ascii="Times New Roman" w:hAnsi="Times New Roman" w:eastAsia="仿宋_GB2312"/>
          <w:spacing w:val="-10"/>
          <w:sz w:val="32"/>
          <w:szCs w:val="32"/>
        </w:rPr>
        <w:t>29</w:t>
      </w:r>
      <w:r>
        <w:rPr>
          <w:rFonts w:ascii="Times New Roman" w:hAnsi="Times New Roman" w:eastAsia="仿宋_GB2312"/>
          <w:spacing w:val="-10"/>
          <w:sz w:val="32"/>
          <w:szCs w:val="32"/>
        </w:rPr>
        <w:t>名，其中：编内在岗人员</w:t>
      </w:r>
      <w:r>
        <w:rPr>
          <w:rFonts w:hint="eastAsia" w:ascii="Times New Roman" w:hAnsi="Times New Roman" w:eastAsia="仿宋_GB2312"/>
          <w:spacing w:val="-10"/>
          <w:sz w:val="32"/>
          <w:szCs w:val="32"/>
        </w:rPr>
        <w:t>17</w:t>
      </w:r>
      <w:r>
        <w:rPr>
          <w:rFonts w:ascii="Times New Roman" w:hAnsi="Times New Roman" w:eastAsia="仿宋_GB2312"/>
          <w:spacing w:val="-10"/>
          <w:sz w:val="32"/>
          <w:szCs w:val="32"/>
        </w:rPr>
        <w:t>名、聘用人员12名。</w:t>
      </w:r>
    </w:p>
    <w:p>
      <w:pPr>
        <w:adjustRightInd w:val="0"/>
        <w:snapToGrid w:val="0"/>
        <w:spacing w:line="560" w:lineRule="exact"/>
        <w:ind w:firstLine="603" w:firstLineChars="200"/>
        <w:outlineLvl w:val="0"/>
        <w:rPr>
          <w:rFonts w:ascii="Times New Roman" w:hAnsi="Times New Roman" w:eastAsia="仿宋_GB2312" w:cs="Times New Roman"/>
          <w:spacing w:val="-10"/>
          <w:sz w:val="32"/>
          <w:szCs w:val="32"/>
        </w:rPr>
      </w:pPr>
      <w:r>
        <w:rPr>
          <w:rFonts w:ascii="Times New Roman" w:hAnsi="Times New Roman" w:eastAsia="仿宋_GB2312" w:cs="Times New Roman"/>
          <w:b/>
          <w:bCs/>
          <w:spacing w:val="-10"/>
          <w:sz w:val="32"/>
          <w:szCs w:val="32"/>
        </w:rPr>
        <w:t>3.评价范围</w:t>
      </w:r>
    </w:p>
    <w:p>
      <w:pPr>
        <w:pStyle w:val="5"/>
        <w:adjustRightInd w:val="0"/>
        <w:snapToGrid w:val="0"/>
        <w:spacing w:line="560" w:lineRule="exact"/>
        <w:ind w:firstLine="600" w:firstLineChars="200"/>
        <w:rPr>
          <w:rFonts w:ascii="Times New Roman" w:hAnsi="Times New Roman" w:eastAsia="仿宋_GB2312"/>
          <w:spacing w:val="-10"/>
          <w:sz w:val="84"/>
          <w:szCs w:val="84"/>
        </w:rPr>
      </w:pPr>
      <w:r>
        <w:rPr>
          <w:rFonts w:ascii="Times New Roman" w:hAnsi="Times New Roman" w:eastAsia="仿宋_GB2312"/>
          <w:spacing w:val="-10"/>
          <w:sz w:val="32"/>
          <w:szCs w:val="32"/>
        </w:rPr>
        <w:t>本次绩效评价的范围包括部门基本支出预算及部门项目支出预算共</w:t>
      </w:r>
      <w:r>
        <w:rPr>
          <w:rFonts w:hint="eastAsia" w:ascii="Times New Roman" w:hAnsi="Times New Roman" w:eastAsia="仿宋_GB2312"/>
          <w:spacing w:val="-10"/>
          <w:sz w:val="32"/>
          <w:szCs w:val="32"/>
        </w:rPr>
        <w:t>1,168.00</w:t>
      </w:r>
      <w:r>
        <w:rPr>
          <w:rFonts w:ascii="Times New Roman" w:hAnsi="Times New Roman" w:eastAsia="仿宋_GB2312"/>
          <w:spacing w:val="-10"/>
          <w:sz w:val="32"/>
          <w:szCs w:val="32"/>
        </w:rPr>
        <w:t>万元，其中：部门基本支出预算</w:t>
      </w:r>
      <w:r>
        <w:rPr>
          <w:rFonts w:hint="eastAsia" w:ascii="Times New Roman" w:hAnsi="Times New Roman" w:eastAsia="仿宋_GB2312"/>
          <w:spacing w:val="-10"/>
          <w:sz w:val="32"/>
          <w:szCs w:val="32"/>
        </w:rPr>
        <w:t>1,160.00</w:t>
      </w:r>
      <w:r>
        <w:rPr>
          <w:rFonts w:ascii="Times New Roman" w:hAnsi="Times New Roman" w:eastAsia="仿宋_GB2312"/>
          <w:spacing w:val="-10"/>
          <w:sz w:val="32"/>
          <w:szCs w:val="32"/>
        </w:rPr>
        <w:t>万元，部门项目支出预算</w:t>
      </w:r>
      <w:r>
        <w:rPr>
          <w:rFonts w:hint="eastAsia" w:ascii="Times New Roman" w:hAnsi="Times New Roman" w:eastAsia="仿宋_GB2312"/>
          <w:spacing w:val="-10"/>
          <w:sz w:val="32"/>
          <w:szCs w:val="32"/>
        </w:rPr>
        <w:t>8.00</w:t>
      </w:r>
      <w:r>
        <w:rPr>
          <w:rFonts w:ascii="Times New Roman" w:hAnsi="Times New Roman" w:eastAsia="仿宋_GB2312"/>
          <w:spacing w:val="-10"/>
          <w:sz w:val="32"/>
          <w:szCs w:val="32"/>
        </w:rPr>
        <w:t>万元。</w:t>
      </w:r>
    </w:p>
    <w:p>
      <w:pPr>
        <w:adjustRightInd w:val="0"/>
        <w:snapToGrid w:val="0"/>
        <w:spacing w:line="560" w:lineRule="exact"/>
        <w:ind w:firstLine="603" w:firstLineChars="200"/>
        <w:rPr>
          <w:rFonts w:ascii="Times New Roman" w:hAnsi="Times New Roman" w:eastAsia="楷体_GB2312" w:cs="Times New Roman"/>
          <w:b/>
          <w:bCs/>
          <w:spacing w:val="-10"/>
          <w:sz w:val="32"/>
          <w:szCs w:val="32"/>
          <w:lang w:val="zh-CN"/>
        </w:rPr>
      </w:pPr>
      <w:r>
        <w:rPr>
          <w:rFonts w:ascii="Times New Roman" w:hAnsi="Times New Roman" w:eastAsia="楷体_GB2312" w:cs="Times New Roman"/>
          <w:b/>
          <w:bCs/>
          <w:spacing w:val="-10"/>
          <w:sz w:val="32"/>
          <w:szCs w:val="32"/>
          <w:lang w:val="zh-CN"/>
        </w:rPr>
        <w:t>（二）部门管理制度及执行情况</w:t>
      </w:r>
    </w:p>
    <w:p>
      <w:pPr>
        <w:pStyle w:val="5"/>
        <w:adjustRightInd w:val="0"/>
        <w:snapToGrid w:val="0"/>
        <w:spacing w:line="56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新区土储中心依据《事业单位会计制度》《湖南湘江新区土地储备中心财务管理办法》、湖南湘江新区管理委员会</w:t>
      </w:r>
      <w:r>
        <w:rPr>
          <w:rFonts w:hint="eastAsia" w:ascii="Times New Roman" w:hAnsi="Times New Roman" w:eastAsia="仿宋_GB2312"/>
          <w:spacing w:val="-10"/>
          <w:sz w:val="32"/>
          <w:szCs w:val="32"/>
        </w:rPr>
        <w:t>2020</w:t>
      </w:r>
      <w:r>
        <w:rPr>
          <w:rFonts w:ascii="Times New Roman" w:hAnsi="Times New Roman" w:eastAsia="仿宋_GB2312"/>
          <w:spacing w:val="-10"/>
          <w:sz w:val="32"/>
          <w:szCs w:val="32"/>
        </w:rPr>
        <w:t>年度财政预算及相关法律法规等开展部门业务活动，制度执行基本到位。</w:t>
      </w:r>
    </w:p>
    <w:p>
      <w:pPr>
        <w:numPr>
          <w:ilvl w:val="0"/>
          <w:numId w:val="1"/>
        </w:numPr>
        <w:adjustRightInd w:val="0"/>
        <w:snapToGrid w:val="0"/>
        <w:spacing w:line="560" w:lineRule="exact"/>
        <w:ind w:left="0" w:firstLine="603" w:firstLineChars="200"/>
        <w:rPr>
          <w:rFonts w:ascii="Times New Roman" w:hAnsi="Times New Roman" w:eastAsia="楷体_GB2312" w:cs="Times New Roman"/>
          <w:b/>
          <w:bCs/>
          <w:spacing w:val="-10"/>
          <w:sz w:val="32"/>
          <w:szCs w:val="32"/>
        </w:rPr>
      </w:pPr>
      <w:r>
        <w:rPr>
          <w:rFonts w:ascii="Times New Roman" w:hAnsi="Times New Roman" w:eastAsia="楷体_GB2312" w:cs="Times New Roman"/>
          <w:b/>
          <w:bCs/>
          <w:spacing w:val="-10"/>
          <w:sz w:val="32"/>
          <w:szCs w:val="32"/>
        </w:rPr>
        <w:t>部门预算资金安排、管理、使用情况</w:t>
      </w:r>
    </w:p>
    <w:p>
      <w:pPr>
        <w:pStyle w:val="5"/>
        <w:adjustRightInd w:val="0"/>
        <w:snapToGrid w:val="0"/>
        <w:spacing w:line="560" w:lineRule="exact"/>
        <w:ind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2020</w:t>
      </w:r>
      <w:r>
        <w:rPr>
          <w:rFonts w:ascii="Times New Roman" w:hAnsi="Times New Roman" w:eastAsia="仿宋_GB2312"/>
          <w:spacing w:val="-10"/>
          <w:sz w:val="32"/>
          <w:szCs w:val="32"/>
        </w:rPr>
        <w:t>年新区土储中心年初部门支出预算总额</w:t>
      </w:r>
      <w:r>
        <w:rPr>
          <w:rFonts w:hint="eastAsia" w:ascii="Times New Roman" w:hAnsi="Times New Roman" w:eastAsia="仿宋_GB2312"/>
          <w:spacing w:val="-10"/>
          <w:sz w:val="32"/>
          <w:szCs w:val="32"/>
        </w:rPr>
        <w:t>1,254.00</w:t>
      </w:r>
      <w:r>
        <w:rPr>
          <w:rFonts w:ascii="Times New Roman" w:hAnsi="Times New Roman" w:eastAsia="仿宋_GB2312"/>
          <w:spacing w:val="-10"/>
          <w:sz w:val="32"/>
          <w:szCs w:val="32"/>
        </w:rPr>
        <w:t>万元（其中：基本支出</w:t>
      </w:r>
      <w:r>
        <w:rPr>
          <w:rFonts w:ascii="Times New Roman" w:hAnsi="Times New Roman" w:eastAsia="仿宋_GB2312"/>
          <w:spacing w:val="-10"/>
          <w:sz w:val="32"/>
          <w:szCs w:val="32"/>
          <w:lang w:val="zh-CN"/>
        </w:rPr>
        <w:t>预算</w:t>
      </w:r>
      <w:r>
        <w:rPr>
          <w:rFonts w:hint="eastAsia" w:ascii="Times New Roman" w:hAnsi="Times New Roman" w:eastAsia="仿宋_GB2312"/>
          <w:spacing w:val="-10"/>
          <w:sz w:val="32"/>
          <w:szCs w:val="32"/>
        </w:rPr>
        <w:t>1,244.00</w:t>
      </w:r>
      <w:r>
        <w:rPr>
          <w:rFonts w:ascii="Times New Roman" w:hAnsi="Times New Roman" w:eastAsia="仿宋_GB2312"/>
          <w:spacing w:val="-10"/>
          <w:sz w:val="32"/>
          <w:szCs w:val="32"/>
        </w:rPr>
        <w:t>万元，项目支出预算</w:t>
      </w:r>
      <w:r>
        <w:rPr>
          <w:rFonts w:hint="eastAsia" w:ascii="Times New Roman" w:hAnsi="Times New Roman" w:eastAsia="仿宋_GB2312"/>
          <w:spacing w:val="-10"/>
          <w:sz w:val="32"/>
          <w:szCs w:val="32"/>
        </w:rPr>
        <w:t>10.00</w:t>
      </w:r>
      <w:r>
        <w:rPr>
          <w:rFonts w:ascii="Times New Roman" w:hAnsi="Times New Roman" w:eastAsia="仿宋_GB2312"/>
          <w:spacing w:val="-10"/>
          <w:sz w:val="32"/>
          <w:szCs w:val="32"/>
        </w:rPr>
        <w:t>万元）；年中预算调</w:t>
      </w:r>
      <w:r>
        <w:rPr>
          <w:rFonts w:hint="eastAsia" w:ascii="Times New Roman" w:hAnsi="Times New Roman" w:eastAsia="仿宋_GB2312"/>
          <w:spacing w:val="-10"/>
          <w:sz w:val="32"/>
          <w:szCs w:val="32"/>
        </w:rPr>
        <w:t>减86.00</w:t>
      </w:r>
      <w:r>
        <w:rPr>
          <w:rFonts w:ascii="Times New Roman" w:hAnsi="Times New Roman" w:eastAsia="仿宋_GB2312"/>
          <w:spacing w:val="-10"/>
          <w:sz w:val="32"/>
          <w:szCs w:val="32"/>
        </w:rPr>
        <w:t>万元（其中：基本支出预算调</w:t>
      </w:r>
      <w:r>
        <w:rPr>
          <w:rFonts w:hint="eastAsia" w:ascii="Times New Roman" w:hAnsi="Times New Roman" w:eastAsia="仿宋_GB2312"/>
          <w:spacing w:val="-10"/>
          <w:sz w:val="32"/>
          <w:szCs w:val="32"/>
        </w:rPr>
        <w:t>减少84.00</w:t>
      </w:r>
      <w:r>
        <w:rPr>
          <w:rFonts w:ascii="Times New Roman" w:hAnsi="Times New Roman" w:eastAsia="仿宋_GB2312"/>
          <w:spacing w:val="-10"/>
          <w:sz w:val="32"/>
          <w:szCs w:val="32"/>
        </w:rPr>
        <w:t>万元，项目支出预算调减</w:t>
      </w:r>
      <w:r>
        <w:rPr>
          <w:rFonts w:hint="eastAsia" w:ascii="Times New Roman" w:hAnsi="Times New Roman" w:eastAsia="仿宋_GB2312"/>
          <w:spacing w:val="-10"/>
          <w:sz w:val="32"/>
          <w:szCs w:val="32"/>
        </w:rPr>
        <w:t>2.00</w:t>
      </w:r>
      <w:r>
        <w:rPr>
          <w:rFonts w:ascii="Times New Roman" w:hAnsi="Times New Roman" w:eastAsia="仿宋_GB2312"/>
          <w:spacing w:val="-10"/>
          <w:sz w:val="32"/>
          <w:szCs w:val="32"/>
        </w:rPr>
        <w:t>万元），调整后部门支出预算总额</w:t>
      </w:r>
      <w:r>
        <w:rPr>
          <w:rFonts w:hint="eastAsia" w:ascii="Times New Roman" w:hAnsi="Times New Roman" w:eastAsia="仿宋_GB2312"/>
          <w:spacing w:val="-10"/>
          <w:sz w:val="32"/>
          <w:szCs w:val="32"/>
        </w:rPr>
        <w:t>1,168.00</w:t>
      </w:r>
      <w:r>
        <w:rPr>
          <w:rFonts w:ascii="Times New Roman" w:hAnsi="Times New Roman" w:eastAsia="仿宋_GB2312"/>
          <w:spacing w:val="-10"/>
          <w:sz w:val="32"/>
          <w:szCs w:val="32"/>
        </w:rPr>
        <w:t>（其中：基本支出预算</w:t>
      </w:r>
      <w:r>
        <w:rPr>
          <w:rFonts w:hint="eastAsia" w:ascii="Times New Roman" w:hAnsi="Times New Roman" w:eastAsia="仿宋_GB2312"/>
          <w:spacing w:val="-10"/>
          <w:sz w:val="32"/>
          <w:szCs w:val="32"/>
        </w:rPr>
        <w:t>1,160.00</w:t>
      </w:r>
      <w:r>
        <w:rPr>
          <w:rFonts w:ascii="Times New Roman" w:hAnsi="Times New Roman" w:eastAsia="仿宋_GB2312"/>
          <w:spacing w:val="-10"/>
          <w:sz w:val="32"/>
          <w:szCs w:val="32"/>
        </w:rPr>
        <w:t>万元，项目支出预算</w:t>
      </w:r>
      <w:r>
        <w:rPr>
          <w:rFonts w:hint="eastAsia" w:ascii="Times New Roman" w:hAnsi="Times New Roman" w:eastAsia="仿宋_GB2312"/>
          <w:spacing w:val="-10"/>
          <w:sz w:val="32"/>
          <w:szCs w:val="32"/>
        </w:rPr>
        <w:t>8.00</w:t>
      </w:r>
      <w:r>
        <w:rPr>
          <w:rFonts w:ascii="Times New Roman" w:hAnsi="Times New Roman" w:eastAsia="仿宋_GB2312"/>
          <w:spacing w:val="-10"/>
          <w:sz w:val="32"/>
          <w:szCs w:val="32"/>
        </w:rPr>
        <w:t>万元）。20</w:t>
      </w:r>
      <w:r>
        <w:rPr>
          <w:rFonts w:hint="eastAsia" w:ascii="Times New Roman" w:hAnsi="Times New Roman" w:eastAsia="仿宋_GB2312"/>
          <w:spacing w:val="-10"/>
          <w:sz w:val="32"/>
          <w:szCs w:val="32"/>
        </w:rPr>
        <w:t>20</w:t>
      </w:r>
      <w:r>
        <w:rPr>
          <w:rFonts w:ascii="Times New Roman" w:hAnsi="Times New Roman" w:eastAsia="仿宋_GB2312"/>
          <w:spacing w:val="-10"/>
          <w:sz w:val="32"/>
          <w:szCs w:val="32"/>
        </w:rPr>
        <w:t>年新区土储中心实际支出</w:t>
      </w:r>
      <w:r>
        <w:rPr>
          <w:rFonts w:hint="eastAsia" w:ascii="Times New Roman" w:hAnsi="Times New Roman" w:eastAsia="仿宋_GB2312"/>
          <w:spacing w:val="-10"/>
          <w:sz w:val="32"/>
          <w:szCs w:val="32"/>
        </w:rPr>
        <w:t>1,151.29</w:t>
      </w:r>
      <w:r>
        <w:rPr>
          <w:rFonts w:ascii="Times New Roman" w:hAnsi="Times New Roman" w:eastAsia="仿宋_GB2312"/>
          <w:spacing w:val="-10"/>
          <w:sz w:val="32"/>
          <w:szCs w:val="32"/>
        </w:rPr>
        <w:t>万元（其中：基本支出</w:t>
      </w:r>
      <w:r>
        <w:rPr>
          <w:rFonts w:hint="eastAsia" w:ascii="Times New Roman" w:hAnsi="Times New Roman" w:eastAsia="仿宋_GB2312"/>
          <w:spacing w:val="-10"/>
          <w:sz w:val="32"/>
          <w:szCs w:val="32"/>
        </w:rPr>
        <w:t>1,143.42</w:t>
      </w:r>
      <w:r>
        <w:rPr>
          <w:rFonts w:ascii="Times New Roman" w:hAnsi="Times New Roman" w:eastAsia="仿宋_GB2312"/>
          <w:spacing w:val="-10"/>
          <w:sz w:val="32"/>
          <w:szCs w:val="32"/>
        </w:rPr>
        <w:t>万元，项目支出</w:t>
      </w:r>
      <w:r>
        <w:rPr>
          <w:rFonts w:hint="eastAsia" w:ascii="Times New Roman" w:hAnsi="Times New Roman" w:eastAsia="仿宋_GB2312"/>
          <w:spacing w:val="-10"/>
          <w:sz w:val="32"/>
          <w:szCs w:val="32"/>
        </w:rPr>
        <w:t>7.87</w:t>
      </w:r>
      <w:r>
        <w:rPr>
          <w:rFonts w:ascii="Times New Roman" w:hAnsi="Times New Roman" w:eastAsia="仿宋_GB2312"/>
          <w:spacing w:val="-10"/>
          <w:sz w:val="32"/>
          <w:szCs w:val="32"/>
        </w:rPr>
        <w:t>万元），年末无结转结余。</w:t>
      </w:r>
    </w:p>
    <w:p>
      <w:pPr>
        <w:adjustRightInd w:val="0"/>
        <w:snapToGrid w:val="0"/>
        <w:spacing w:line="560" w:lineRule="exact"/>
        <w:ind w:firstLine="603" w:firstLineChars="200"/>
        <w:outlineLvl w:val="0"/>
        <w:rPr>
          <w:rFonts w:ascii="Times New Roman" w:hAnsi="Times New Roman" w:eastAsia="仿宋_GB2312" w:cs="Times New Roman"/>
          <w:b/>
          <w:bCs/>
          <w:spacing w:val="-10"/>
          <w:sz w:val="32"/>
          <w:szCs w:val="32"/>
          <w:lang w:val="zh-CN"/>
        </w:rPr>
      </w:pPr>
      <w:r>
        <w:rPr>
          <w:rFonts w:ascii="Times New Roman" w:hAnsi="Times New Roman" w:eastAsia="仿宋_GB2312" w:cs="Times New Roman"/>
          <w:b/>
          <w:bCs/>
          <w:spacing w:val="-10"/>
          <w:sz w:val="32"/>
          <w:szCs w:val="32"/>
        </w:rPr>
        <w:t>1.</w:t>
      </w:r>
      <w:r>
        <w:rPr>
          <w:rFonts w:ascii="Times New Roman" w:hAnsi="Times New Roman" w:eastAsia="仿宋_GB2312" w:cs="Times New Roman"/>
          <w:b/>
          <w:bCs/>
          <w:spacing w:val="-10"/>
          <w:sz w:val="32"/>
          <w:szCs w:val="32"/>
          <w:lang w:val="zh-CN"/>
        </w:rPr>
        <w:t>基本支出</w:t>
      </w:r>
    </w:p>
    <w:p>
      <w:pPr>
        <w:adjustRightInd w:val="0"/>
        <w:snapToGrid w:val="0"/>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lang w:val="zh-CN"/>
        </w:rPr>
        <w:t>基本支出用于保障机构正常运转、完成日常工作任务而发生的支出，包括基本工资、津贴补贴、社会保障缴费等人员经费和办公费、水电费、印刷费、差旅费、公务接待费、公务车运行、办公设备购置费、土地出让招商、地产信息服务等日常公用经费。</w:t>
      </w:r>
      <w:r>
        <w:rPr>
          <w:rFonts w:ascii="Times New Roman" w:hAnsi="Times New Roman" w:eastAsia="仿宋_GB2312" w:cs="Times New Roman"/>
          <w:spacing w:val="-10"/>
          <w:sz w:val="32"/>
          <w:szCs w:val="32"/>
        </w:rPr>
        <w:t xml:space="preserve">  </w:t>
      </w:r>
    </w:p>
    <w:p>
      <w:pPr>
        <w:pStyle w:val="5"/>
        <w:adjustRightInd w:val="0"/>
        <w:snapToGrid w:val="0"/>
        <w:spacing w:line="560" w:lineRule="exact"/>
        <w:ind w:firstLine="600" w:firstLineChars="200"/>
        <w:rPr>
          <w:rFonts w:ascii="Times New Roman" w:hAnsi="Times New Roman" w:eastAsia="仿宋_GB2312"/>
          <w:spacing w:val="-10"/>
          <w:sz w:val="32"/>
          <w:szCs w:val="32"/>
          <w:lang w:val="zh-CN"/>
        </w:rPr>
      </w:pPr>
      <w:r>
        <w:rPr>
          <w:rFonts w:ascii="Times New Roman" w:hAnsi="Times New Roman" w:eastAsia="仿宋_GB2312"/>
          <w:spacing w:val="-10"/>
          <w:sz w:val="32"/>
          <w:szCs w:val="32"/>
        </w:rPr>
        <w:t>20</w:t>
      </w:r>
      <w:r>
        <w:rPr>
          <w:rFonts w:hint="eastAsia" w:ascii="Times New Roman" w:hAnsi="Times New Roman" w:eastAsia="仿宋_GB2312"/>
          <w:spacing w:val="-10"/>
          <w:sz w:val="32"/>
          <w:szCs w:val="32"/>
        </w:rPr>
        <w:t>20</w:t>
      </w:r>
      <w:r>
        <w:rPr>
          <w:rFonts w:ascii="Times New Roman" w:hAnsi="Times New Roman" w:eastAsia="仿宋_GB2312"/>
          <w:spacing w:val="-10"/>
          <w:sz w:val="32"/>
          <w:szCs w:val="32"/>
        </w:rPr>
        <w:t>年新区土储中心基本支出年初预算</w:t>
      </w:r>
      <w:r>
        <w:rPr>
          <w:rFonts w:hint="eastAsia" w:ascii="Times New Roman" w:hAnsi="Times New Roman" w:eastAsia="仿宋_GB2312"/>
          <w:spacing w:val="-10"/>
          <w:sz w:val="32"/>
          <w:szCs w:val="32"/>
        </w:rPr>
        <w:t>1,244.00</w:t>
      </w:r>
      <w:r>
        <w:rPr>
          <w:rFonts w:ascii="Times New Roman" w:hAnsi="Times New Roman" w:eastAsia="仿宋_GB2312"/>
          <w:spacing w:val="-10"/>
          <w:sz w:val="32"/>
          <w:szCs w:val="32"/>
        </w:rPr>
        <w:t>万元。年中</w:t>
      </w:r>
      <w:r>
        <w:rPr>
          <w:rFonts w:ascii="Times New Roman" w:hAnsi="Times New Roman" w:eastAsia="仿宋_GB2312"/>
          <w:spacing w:val="-10"/>
          <w:sz w:val="32"/>
          <w:szCs w:val="32"/>
          <w:lang w:val="zh-CN"/>
        </w:rPr>
        <w:t>调整</w:t>
      </w:r>
      <w:r>
        <w:rPr>
          <w:rFonts w:hint="eastAsia" w:ascii="Times New Roman" w:hAnsi="Times New Roman" w:eastAsia="仿宋_GB2312"/>
          <w:spacing w:val="-10"/>
          <w:sz w:val="32"/>
          <w:szCs w:val="32"/>
        </w:rPr>
        <w:t>84.00</w:t>
      </w:r>
      <w:r>
        <w:rPr>
          <w:rFonts w:ascii="Times New Roman" w:hAnsi="Times New Roman" w:eastAsia="仿宋_GB2312"/>
          <w:spacing w:val="-10"/>
          <w:sz w:val="32"/>
          <w:szCs w:val="32"/>
        </w:rPr>
        <w:t>万元，年中调整</w:t>
      </w:r>
      <w:r>
        <w:rPr>
          <w:rFonts w:ascii="Times New Roman" w:hAnsi="Times New Roman" w:eastAsia="仿宋_GB2312"/>
          <w:spacing w:val="-10"/>
          <w:sz w:val="32"/>
          <w:szCs w:val="32"/>
          <w:lang w:val="zh-CN"/>
        </w:rPr>
        <w:t>后基本支出预算</w:t>
      </w:r>
      <w:r>
        <w:rPr>
          <w:rFonts w:hint="eastAsia" w:ascii="Times New Roman" w:hAnsi="Times New Roman" w:eastAsia="仿宋_GB2312"/>
          <w:spacing w:val="-10"/>
          <w:sz w:val="32"/>
          <w:szCs w:val="32"/>
        </w:rPr>
        <w:t>1,160.00</w:t>
      </w:r>
      <w:r>
        <w:rPr>
          <w:rFonts w:ascii="Times New Roman" w:hAnsi="Times New Roman" w:eastAsia="仿宋_GB2312"/>
          <w:spacing w:val="-10"/>
          <w:sz w:val="32"/>
          <w:szCs w:val="32"/>
        </w:rPr>
        <w:t>万元。20</w:t>
      </w:r>
      <w:r>
        <w:rPr>
          <w:rFonts w:hint="eastAsia" w:ascii="Times New Roman" w:hAnsi="Times New Roman" w:eastAsia="仿宋_GB2312"/>
          <w:spacing w:val="-10"/>
          <w:sz w:val="32"/>
          <w:szCs w:val="32"/>
        </w:rPr>
        <w:t>20</w:t>
      </w:r>
      <w:r>
        <w:rPr>
          <w:rFonts w:ascii="Times New Roman" w:hAnsi="Times New Roman" w:eastAsia="仿宋_GB2312"/>
          <w:spacing w:val="-10"/>
          <w:sz w:val="32"/>
          <w:szCs w:val="32"/>
        </w:rPr>
        <w:t>年</w:t>
      </w:r>
      <w:r>
        <w:rPr>
          <w:rFonts w:ascii="Times New Roman" w:hAnsi="Times New Roman" w:eastAsia="仿宋_GB2312"/>
          <w:spacing w:val="-10"/>
          <w:sz w:val="32"/>
          <w:szCs w:val="32"/>
          <w:lang w:val="zh-CN"/>
        </w:rPr>
        <w:t>实际发生基本支出</w:t>
      </w:r>
      <w:r>
        <w:rPr>
          <w:rFonts w:hint="eastAsia" w:ascii="Times New Roman" w:hAnsi="Times New Roman" w:eastAsia="仿宋_GB2312"/>
          <w:spacing w:val="-10"/>
          <w:sz w:val="32"/>
          <w:szCs w:val="32"/>
        </w:rPr>
        <w:t>1,143.42</w:t>
      </w:r>
      <w:r>
        <w:rPr>
          <w:rFonts w:ascii="Times New Roman" w:hAnsi="Times New Roman" w:eastAsia="仿宋_GB2312"/>
          <w:spacing w:val="-10"/>
          <w:sz w:val="32"/>
          <w:szCs w:val="32"/>
          <w:lang w:val="zh-CN"/>
        </w:rPr>
        <w:t>万元</w:t>
      </w:r>
      <w:r>
        <w:rPr>
          <w:rFonts w:ascii="Times New Roman" w:hAnsi="Times New Roman" w:eastAsia="仿宋_GB2312"/>
          <w:spacing w:val="-10"/>
          <w:sz w:val="32"/>
          <w:szCs w:val="32"/>
        </w:rPr>
        <w:t>。</w:t>
      </w:r>
      <w:r>
        <w:rPr>
          <w:rFonts w:ascii="Times New Roman" w:hAnsi="Times New Roman" w:eastAsia="仿宋_GB2312"/>
          <w:spacing w:val="-10"/>
          <w:sz w:val="32"/>
          <w:szCs w:val="32"/>
          <w:lang w:val="zh-CN"/>
        </w:rPr>
        <w:t>预算执行率为</w:t>
      </w:r>
      <w:r>
        <w:rPr>
          <w:rFonts w:hint="eastAsia" w:ascii="Times New Roman" w:hAnsi="Times New Roman" w:eastAsia="仿宋_GB2312"/>
          <w:spacing w:val="-10"/>
          <w:sz w:val="32"/>
          <w:szCs w:val="32"/>
        </w:rPr>
        <w:t>98.57</w:t>
      </w:r>
      <w:r>
        <w:rPr>
          <w:rFonts w:ascii="Times New Roman" w:hAnsi="Times New Roman" w:eastAsia="仿宋_GB2312"/>
          <w:spacing w:val="-10"/>
          <w:sz w:val="32"/>
          <w:szCs w:val="32"/>
          <w:lang w:val="zh-CN"/>
        </w:rPr>
        <w:t>%。具体情况如下：</w:t>
      </w:r>
    </w:p>
    <w:p>
      <w:pPr>
        <w:spacing w:line="560" w:lineRule="exact"/>
        <w:ind w:firstLine="420" w:firstLineChars="200"/>
        <w:jc w:val="right"/>
        <w:rPr>
          <w:rFonts w:ascii="Times New Roman" w:hAnsi="Times New Roman" w:eastAsia="仿宋_GB2312" w:cs="Times New Roman"/>
          <w:szCs w:val="21"/>
        </w:rPr>
      </w:pPr>
      <w:r>
        <w:rPr>
          <w:rFonts w:ascii="Times New Roman" w:hAnsi="Times New Roman" w:cs="Times New Roman"/>
          <w:szCs w:val="21"/>
          <w:lang w:val="zh-CN"/>
        </w:rPr>
        <w:t>金额</w:t>
      </w:r>
      <w:r>
        <w:rPr>
          <w:rFonts w:ascii="Times New Roman" w:hAnsi="Times New Roman" w:cs="Times New Roman"/>
          <w:szCs w:val="21"/>
        </w:rPr>
        <w:t>单位：万元</w:t>
      </w:r>
    </w:p>
    <w:tbl>
      <w:tblPr>
        <w:tblStyle w:val="7"/>
        <w:tblW w:w="50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09"/>
        <w:gridCol w:w="1436"/>
        <w:gridCol w:w="1091"/>
        <w:gridCol w:w="916"/>
        <w:gridCol w:w="1128"/>
        <w:gridCol w:w="1150"/>
        <w:gridCol w:w="168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Header/>
          <w:jc w:val="center"/>
        </w:trPr>
        <w:tc>
          <w:tcPr>
            <w:tcW w:w="510" w:type="dxa"/>
            <w:vAlign w:val="center"/>
          </w:tcPr>
          <w:p>
            <w:pPr>
              <w:widowControl/>
              <w:spacing w:line="560" w:lineRule="exact"/>
              <w:jc w:val="center"/>
              <w:textAlignment w:val="center"/>
              <w:rPr>
                <w:rFonts w:ascii="Times New Roman" w:hAnsi="Times New Roman" w:cs="Times New Roman"/>
                <w:bCs/>
                <w:color w:val="000000"/>
                <w:kern w:val="0"/>
                <w:szCs w:val="21"/>
                <w:lang w:val="zh-CN"/>
              </w:rPr>
            </w:pPr>
            <w:r>
              <w:rPr>
                <w:rFonts w:hint="eastAsia" w:ascii="宋体" w:hAnsi="宋体" w:eastAsia="宋体" w:cs="宋体"/>
                <w:color w:val="000000"/>
                <w:kern w:val="0"/>
                <w:szCs w:val="21"/>
              </w:rPr>
              <w:t>序号</w:t>
            </w:r>
          </w:p>
        </w:tc>
        <w:tc>
          <w:tcPr>
            <w:tcW w:w="1436"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项目内容</w:t>
            </w:r>
          </w:p>
        </w:tc>
        <w:tc>
          <w:tcPr>
            <w:tcW w:w="1091"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hint="eastAsia" w:ascii="宋体" w:hAnsi="宋体" w:eastAsia="宋体" w:cs="宋体"/>
                <w:color w:val="000000"/>
                <w:kern w:val="0"/>
                <w:szCs w:val="21"/>
              </w:rPr>
              <w:t>年初预算</w:t>
            </w:r>
          </w:p>
        </w:tc>
        <w:tc>
          <w:tcPr>
            <w:tcW w:w="916"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预算调整</w:t>
            </w:r>
          </w:p>
        </w:tc>
        <w:tc>
          <w:tcPr>
            <w:tcW w:w="1128"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hint="eastAsia" w:ascii="宋体" w:hAnsi="宋体" w:eastAsia="宋体" w:cs="宋体"/>
                <w:color w:val="000000"/>
                <w:kern w:val="0"/>
                <w:szCs w:val="21"/>
              </w:rPr>
              <w:t>调整后预算</w:t>
            </w:r>
          </w:p>
        </w:tc>
        <w:tc>
          <w:tcPr>
            <w:tcW w:w="1150"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实际支出</w:t>
            </w:r>
          </w:p>
        </w:tc>
        <w:tc>
          <w:tcPr>
            <w:tcW w:w="1683"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预算与执行差异（超支</w:t>
            </w:r>
            <w:r>
              <w:rPr>
                <w:rFonts w:ascii="Times New Roman" w:hAnsi="Times New Roman" w:eastAsia="宋体" w:cs="Times New Roman"/>
                <w:color w:val="000000"/>
                <w:kern w:val="0"/>
                <w:szCs w:val="21"/>
              </w:rPr>
              <w:t>“+”</w:t>
            </w:r>
            <w:r>
              <w:rPr>
                <w:rStyle w:val="18"/>
                <w:rFonts w:hint="default"/>
              </w:rPr>
              <w:t>，结余</w:t>
            </w:r>
            <w:r>
              <w:rPr>
                <w:rFonts w:ascii="Times New Roman" w:hAnsi="Times New Roman" w:eastAsia="宋体" w:cs="Times New Roman"/>
                <w:color w:val="000000"/>
                <w:kern w:val="0"/>
                <w:szCs w:val="21"/>
              </w:rPr>
              <w:t>“-”</w:t>
            </w:r>
            <w:r>
              <w:rPr>
                <w:rStyle w:val="18"/>
                <w:rFonts w:hint="default"/>
              </w:rPr>
              <w:t>）</w:t>
            </w:r>
          </w:p>
        </w:tc>
        <w:tc>
          <w:tcPr>
            <w:tcW w:w="972"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hint="eastAsia" w:ascii="宋体" w:hAnsi="宋体" w:eastAsia="宋体" w:cs="宋体"/>
                <w:color w:val="000000"/>
                <w:kern w:val="0"/>
                <w:szCs w:val="21"/>
              </w:rPr>
              <w:t>预算执行率（</w:t>
            </w:r>
            <w:r>
              <w:rPr>
                <w:rFonts w:ascii="Times New Roman" w:hAnsi="Times New Roman" w:eastAsia="宋体" w:cs="Times New Roman"/>
                <w:color w:val="000000"/>
                <w:kern w:val="0"/>
                <w:szCs w:val="21"/>
              </w:rPr>
              <w:t>%</w:t>
            </w:r>
            <w:r>
              <w:rPr>
                <w:rStyle w:val="18"/>
                <w:rFonts w:hint="defau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9" w:hRule="atLeast"/>
          <w:jc w:val="center"/>
        </w:trPr>
        <w:tc>
          <w:tcPr>
            <w:tcW w:w="510" w:type="dxa"/>
            <w:vAlign w:val="center"/>
          </w:tcPr>
          <w:p>
            <w:pPr>
              <w:widowControl/>
              <w:spacing w:line="560" w:lineRule="exact"/>
              <w:jc w:val="center"/>
              <w:textAlignment w:val="center"/>
              <w:rPr>
                <w:rFonts w:ascii="Times New Roman" w:hAnsi="Times New Roman" w:cs="Times New Roman"/>
                <w:bCs/>
                <w:color w:val="000000"/>
                <w:kern w:val="0"/>
                <w:szCs w:val="21"/>
                <w:lang w:val="zh-CN"/>
              </w:rPr>
            </w:pPr>
            <w:r>
              <w:rPr>
                <w:rFonts w:ascii="Times New Roman" w:hAnsi="Times New Roman" w:eastAsia="宋体" w:cs="Times New Roman"/>
                <w:color w:val="000000"/>
                <w:kern w:val="0"/>
                <w:szCs w:val="21"/>
              </w:rPr>
              <w:t>1</w:t>
            </w:r>
          </w:p>
        </w:tc>
        <w:tc>
          <w:tcPr>
            <w:tcW w:w="1436" w:type="dxa"/>
            <w:vAlign w:val="center"/>
          </w:tcPr>
          <w:p>
            <w:pPr>
              <w:widowControl/>
              <w:spacing w:line="560" w:lineRule="exact"/>
              <w:jc w:val="left"/>
              <w:textAlignment w:val="center"/>
              <w:rPr>
                <w:rFonts w:ascii="Times New Roman" w:hAnsi="Times New Roman" w:cs="Times New Roman"/>
                <w:bCs/>
                <w:color w:val="000000"/>
                <w:kern w:val="0"/>
                <w:szCs w:val="21"/>
                <w:lang w:val="zh-CN"/>
              </w:rPr>
            </w:pPr>
            <w:r>
              <w:rPr>
                <w:rFonts w:hint="eastAsia" w:ascii="宋体" w:hAnsi="宋体" w:eastAsia="宋体" w:cs="宋体"/>
                <w:color w:val="000000"/>
                <w:kern w:val="0"/>
                <w:szCs w:val="21"/>
              </w:rPr>
              <w:t>工资福利支出</w:t>
            </w:r>
          </w:p>
        </w:tc>
        <w:tc>
          <w:tcPr>
            <w:tcW w:w="1091"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1,108.00 </w:t>
            </w:r>
          </w:p>
        </w:tc>
        <w:tc>
          <w:tcPr>
            <w:tcW w:w="916"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-54</w:t>
            </w:r>
            <w:r>
              <w:rPr>
                <w:rFonts w:hint="eastAsia" w:ascii="Times New Roman" w:hAnsi="Times New Roman" w:eastAsia="宋体" w:cs="Times New Roman"/>
                <w:color w:val="000000"/>
                <w:kern w:val="0"/>
                <w:szCs w:val="21"/>
              </w:rPr>
              <w:t>.00</w:t>
            </w:r>
          </w:p>
        </w:tc>
        <w:tc>
          <w:tcPr>
            <w:tcW w:w="1128"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054</w:t>
            </w:r>
            <w:r>
              <w:rPr>
                <w:rFonts w:hint="eastAsia" w:ascii="Times New Roman" w:hAnsi="Times New Roman" w:eastAsia="宋体" w:cs="Times New Roman"/>
                <w:color w:val="000000"/>
                <w:kern w:val="0"/>
                <w:szCs w:val="21"/>
              </w:rPr>
              <w:t>.00</w:t>
            </w:r>
          </w:p>
        </w:tc>
        <w:tc>
          <w:tcPr>
            <w:tcW w:w="1150"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044.99</w:t>
            </w:r>
          </w:p>
        </w:tc>
        <w:tc>
          <w:tcPr>
            <w:tcW w:w="168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-9.01</w:t>
            </w:r>
          </w:p>
        </w:tc>
        <w:tc>
          <w:tcPr>
            <w:tcW w:w="972"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510" w:type="dxa"/>
            <w:vAlign w:val="center"/>
          </w:tcPr>
          <w:p>
            <w:pPr>
              <w:widowControl/>
              <w:spacing w:line="560" w:lineRule="exact"/>
              <w:jc w:val="center"/>
              <w:textAlignment w:val="center"/>
              <w:rPr>
                <w:rFonts w:ascii="Times New Roman" w:hAnsi="Times New Roman" w:cs="Times New Roman"/>
                <w:bCs/>
                <w:color w:val="000000"/>
                <w:kern w:val="0"/>
                <w:szCs w:val="21"/>
                <w:lang w:val="zh-CN"/>
              </w:rPr>
            </w:pPr>
            <w:r>
              <w:rPr>
                <w:rFonts w:ascii="Times New Roman" w:hAnsi="Times New Roman" w:eastAsia="宋体" w:cs="Times New Roman"/>
                <w:color w:val="000000"/>
                <w:kern w:val="0"/>
                <w:szCs w:val="21"/>
              </w:rPr>
              <w:t>2</w:t>
            </w:r>
          </w:p>
        </w:tc>
        <w:tc>
          <w:tcPr>
            <w:tcW w:w="1436" w:type="dxa"/>
            <w:vAlign w:val="center"/>
          </w:tcPr>
          <w:p>
            <w:pPr>
              <w:widowControl/>
              <w:spacing w:line="560" w:lineRule="exact"/>
              <w:jc w:val="left"/>
              <w:textAlignment w:val="center"/>
              <w:rPr>
                <w:rFonts w:ascii="Times New Roman" w:hAnsi="Times New Roman" w:cs="Times New Roman"/>
                <w:bCs/>
                <w:color w:val="000000"/>
                <w:kern w:val="0"/>
                <w:szCs w:val="21"/>
                <w:lang w:val="zh-CN"/>
              </w:rPr>
            </w:pPr>
            <w:r>
              <w:rPr>
                <w:rFonts w:hint="eastAsia" w:ascii="宋体" w:hAnsi="宋体" w:eastAsia="宋体" w:cs="宋体"/>
                <w:color w:val="000000"/>
                <w:kern w:val="0"/>
                <w:szCs w:val="21"/>
              </w:rPr>
              <w:t>离退休费</w:t>
            </w:r>
          </w:p>
        </w:tc>
        <w:tc>
          <w:tcPr>
            <w:tcW w:w="1091"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8.00 </w:t>
            </w:r>
          </w:p>
        </w:tc>
        <w:tc>
          <w:tcPr>
            <w:tcW w:w="916"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.00</w:t>
            </w:r>
          </w:p>
        </w:tc>
        <w:tc>
          <w:tcPr>
            <w:tcW w:w="1128"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.00</w:t>
            </w:r>
          </w:p>
        </w:tc>
        <w:tc>
          <w:tcPr>
            <w:tcW w:w="1150"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11.53</w:t>
            </w:r>
          </w:p>
        </w:tc>
        <w:tc>
          <w:tcPr>
            <w:tcW w:w="168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0.53</w:t>
            </w:r>
          </w:p>
        </w:tc>
        <w:tc>
          <w:tcPr>
            <w:tcW w:w="972"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104.82%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7" w:hRule="atLeast"/>
          <w:jc w:val="center"/>
        </w:trPr>
        <w:tc>
          <w:tcPr>
            <w:tcW w:w="510" w:type="dxa"/>
            <w:vAlign w:val="center"/>
          </w:tcPr>
          <w:p>
            <w:pPr>
              <w:widowControl/>
              <w:spacing w:line="560" w:lineRule="exact"/>
              <w:jc w:val="center"/>
              <w:textAlignment w:val="center"/>
              <w:rPr>
                <w:rFonts w:ascii="Times New Roman" w:hAnsi="Times New Roman" w:cs="Times New Roman"/>
                <w:color w:val="000000"/>
                <w:kern w:val="0"/>
                <w:szCs w:val="21"/>
              </w:rPr>
            </w:pPr>
            <w:r>
              <w:rPr>
                <w:rFonts w:ascii="Times New Roman" w:hAnsi="Times New Roman" w:eastAsia="宋体" w:cs="Times New Roman"/>
                <w:color w:val="000000"/>
                <w:kern w:val="0"/>
                <w:szCs w:val="21"/>
              </w:rPr>
              <w:t>3</w:t>
            </w:r>
          </w:p>
        </w:tc>
        <w:tc>
          <w:tcPr>
            <w:tcW w:w="1436" w:type="dxa"/>
            <w:vAlign w:val="center"/>
          </w:tcPr>
          <w:p>
            <w:pPr>
              <w:widowControl/>
              <w:spacing w:line="560" w:lineRule="exact"/>
              <w:jc w:val="left"/>
              <w:textAlignment w:val="center"/>
              <w:rPr>
                <w:rFonts w:ascii="Times New Roman" w:hAnsi="Times New Roman" w:eastAsia="宋体" w:cs="Times New Roman"/>
                <w:color w:val="000000"/>
                <w:kern w:val="0"/>
                <w:szCs w:val="21"/>
              </w:rPr>
            </w:pPr>
            <w:r>
              <w:rPr>
                <w:rFonts w:hint="eastAsia" w:ascii="宋体" w:hAnsi="宋体" w:eastAsia="宋体" w:cs="宋体"/>
                <w:color w:val="000000"/>
                <w:kern w:val="0"/>
                <w:szCs w:val="21"/>
              </w:rPr>
              <w:t>商品和服务支出</w:t>
            </w:r>
          </w:p>
        </w:tc>
        <w:tc>
          <w:tcPr>
            <w:tcW w:w="1091" w:type="dxa"/>
            <w:vAlign w:val="center"/>
          </w:tcPr>
          <w:p>
            <w:pPr>
              <w:widowControl/>
              <w:spacing w:line="560" w:lineRule="exact"/>
              <w:jc w:val="center"/>
              <w:textAlignment w:val="center"/>
              <w:rPr>
                <w:rFonts w:ascii="Times New Roman" w:hAnsi="Times New Roman" w:cs="Times New Roman"/>
                <w:color w:val="000000"/>
                <w:kern w:val="0"/>
                <w:szCs w:val="21"/>
              </w:rPr>
            </w:pPr>
            <w:r>
              <w:rPr>
                <w:rFonts w:ascii="Times New Roman" w:hAnsi="Times New Roman" w:eastAsia="宋体" w:cs="Times New Roman"/>
                <w:color w:val="000000"/>
                <w:kern w:val="0"/>
                <w:szCs w:val="21"/>
              </w:rPr>
              <w:t xml:space="preserve">128.00 </w:t>
            </w:r>
          </w:p>
        </w:tc>
        <w:tc>
          <w:tcPr>
            <w:tcW w:w="916"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-33</w:t>
            </w:r>
            <w:r>
              <w:rPr>
                <w:rFonts w:hint="eastAsia" w:ascii="Times New Roman" w:hAnsi="Times New Roman" w:eastAsia="宋体" w:cs="Times New Roman"/>
                <w:color w:val="000000"/>
                <w:kern w:val="0"/>
                <w:szCs w:val="21"/>
              </w:rPr>
              <w:t>.00</w:t>
            </w:r>
          </w:p>
        </w:tc>
        <w:tc>
          <w:tcPr>
            <w:tcW w:w="1128"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95</w:t>
            </w:r>
            <w:r>
              <w:rPr>
                <w:rFonts w:hint="eastAsia" w:ascii="Times New Roman" w:hAnsi="Times New Roman" w:eastAsia="宋体" w:cs="Times New Roman"/>
                <w:color w:val="000000"/>
                <w:kern w:val="0"/>
                <w:szCs w:val="21"/>
              </w:rPr>
              <w:t>.00</w:t>
            </w:r>
          </w:p>
        </w:tc>
        <w:tc>
          <w:tcPr>
            <w:tcW w:w="1150"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86.9</w:t>
            </w:r>
            <w:r>
              <w:rPr>
                <w:rFonts w:hint="eastAsia" w:ascii="Times New Roman" w:hAnsi="Times New Roman" w:eastAsia="宋体" w:cs="Times New Roman"/>
                <w:color w:val="000000"/>
                <w:kern w:val="0"/>
                <w:szCs w:val="21"/>
              </w:rPr>
              <w:t>0</w:t>
            </w:r>
          </w:p>
        </w:tc>
        <w:tc>
          <w:tcPr>
            <w:tcW w:w="168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-8.1</w:t>
            </w:r>
          </w:p>
        </w:tc>
        <w:tc>
          <w:tcPr>
            <w:tcW w:w="972"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7" w:hRule="atLeast"/>
          <w:jc w:val="center"/>
        </w:trPr>
        <w:tc>
          <w:tcPr>
            <w:tcW w:w="1946" w:type="dxa"/>
            <w:gridSpan w:val="2"/>
            <w:vAlign w:val="center"/>
          </w:tcPr>
          <w:p>
            <w:pPr>
              <w:widowControl/>
              <w:spacing w:line="560" w:lineRule="exact"/>
              <w:jc w:val="center"/>
              <w:textAlignment w:val="center"/>
              <w:rPr>
                <w:rFonts w:ascii="Times New Roman" w:hAnsi="Times New Roman" w:cs="Times New Roman"/>
                <w:color w:val="000000"/>
                <w:kern w:val="0"/>
                <w:szCs w:val="21"/>
              </w:rPr>
            </w:pPr>
            <w:r>
              <w:rPr>
                <w:rFonts w:hint="eastAsia" w:ascii="宋体" w:hAnsi="宋体" w:eastAsia="宋体" w:cs="宋体"/>
                <w:color w:val="000000"/>
                <w:kern w:val="0"/>
                <w:szCs w:val="21"/>
              </w:rPr>
              <w:t>基本支出小计</w:t>
            </w:r>
          </w:p>
        </w:tc>
        <w:tc>
          <w:tcPr>
            <w:tcW w:w="1091"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1,244.00 </w:t>
            </w:r>
          </w:p>
        </w:tc>
        <w:tc>
          <w:tcPr>
            <w:tcW w:w="916"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-84</w:t>
            </w:r>
            <w:r>
              <w:rPr>
                <w:rFonts w:hint="eastAsia" w:ascii="Times New Roman" w:hAnsi="Times New Roman" w:eastAsia="宋体" w:cs="Times New Roman"/>
                <w:color w:val="000000"/>
                <w:kern w:val="0"/>
                <w:szCs w:val="21"/>
              </w:rPr>
              <w:t>.00</w:t>
            </w:r>
          </w:p>
        </w:tc>
        <w:tc>
          <w:tcPr>
            <w:tcW w:w="1128"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160</w:t>
            </w:r>
            <w:r>
              <w:rPr>
                <w:rFonts w:hint="eastAsia" w:ascii="Times New Roman" w:hAnsi="Times New Roman" w:eastAsia="宋体" w:cs="Times New Roman"/>
                <w:color w:val="000000"/>
                <w:kern w:val="0"/>
                <w:szCs w:val="21"/>
              </w:rPr>
              <w:t>.00</w:t>
            </w:r>
          </w:p>
        </w:tc>
        <w:tc>
          <w:tcPr>
            <w:tcW w:w="1150"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143.42</w:t>
            </w:r>
          </w:p>
        </w:tc>
        <w:tc>
          <w:tcPr>
            <w:tcW w:w="168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-16.58</w:t>
            </w:r>
          </w:p>
        </w:tc>
        <w:tc>
          <w:tcPr>
            <w:tcW w:w="972"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98.57%</w:t>
            </w:r>
          </w:p>
        </w:tc>
      </w:tr>
    </w:tbl>
    <w:p>
      <w:pPr>
        <w:spacing w:before="20" w:after="20" w:line="560" w:lineRule="exact"/>
        <w:ind w:firstLine="603" w:firstLineChars="200"/>
        <w:outlineLvl w:val="0"/>
        <w:rPr>
          <w:rFonts w:ascii="Times New Roman" w:hAnsi="Times New Roman" w:eastAsia="仿宋_GB2312" w:cs="Times New Roman"/>
          <w:b/>
          <w:bCs/>
          <w:spacing w:val="-10"/>
          <w:sz w:val="32"/>
          <w:szCs w:val="32"/>
        </w:rPr>
      </w:pPr>
      <w:r>
        <w:rPr>
          <w:rFonts w:ascii="Times New Roman" w:hAnsi="Times New Roman" w:eastAsia="仿宋_GB2312" w:cs="Times New Roman"/>
          <w:b/>
          <w:bCs/>
          <w:spacing w:val="-10"/>
          <w:sz w:val="32"/>
          <w:szCs w:val="32"/>
        </w:rPr>
        <w:t>2.“三公经费”支出使用和管理情况</w:t>
      </w:r>
    </w:p>
    <w:p>
      <w:pPr>
        <w:spacing w:before="20" w:after="20" w:line="560" w:lineRule="exact"/>
        <w:ind w:firstLine="56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Times New Roman"/>
          <w:spacing w:val="-10"/>
          <w:sz w:val="32"/>
          <w:szCs w:val="32"/>
        </w:rPr>
        <w:t>2020</w:t>
      </w:r>
      <w:r>
        <w:rPr>
          <w:rFonts w:ascii="Times New Roman" w:hAnsi="Times New Roman" w:eastAsia="仿宋_GB2312" w:cs="Times New Roman"/>
          <w:spacing w:val="-10"/>
          <w:sz w:val="32"/>
          <w:szCs w:val="32"/>
        </w:rPr>
        <w:t>年“三公经费”支出情况</w:t>
      </w:r>
    </w:p>
    <w:p>
      <w:pPr>
        <w:spacing w:before="20" w:after="20" w:line="560" w:lineRule="exact"/>
        <w:ind w:firstLine="420" w:firstLineChars="200"/>
        <w:jc w:val="right"/>
        <w:rPr>
          <w:rFonts w:ascii="Times New Roman" w:hAnsi="Times New Roman" w:cs="Times New Roman"/>
          <w:szCs w:val="21"/>
        </w:rPr>
      </w:pPr>
      <w:r>
        <w:rPr>
          <w:rFonts w:ascii="Times New Roman" w:hAnsi="Times New Roman" w:cs="Times New Roman"/>
          <w:szCs w:val="21"/>
        </w:rPr>
        <w:t>金额单位：万元</w:t>
      </w:r>
    </w:p>
    <w:tbl>
      <w:tblPr>
        <w:tblStyle w:val="7"/>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1714"/>
        <w:gridCol w:w="193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791" w:type="dxa"/>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项目内容</w:t>
            </w:r>
          </w:p>
        </w:tc>
        <w:tc>
          <w:tcPr>
            <w:tcW w:w="1714"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本年预算金额</w:t>
            </w:r>
          </w:p>
        </w:tc>
        <w:tc>
          <w:tcPr>
            <w:tcW w:w="1933"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本年决算金额</w:t>
            </w:r>
          </w:p>
        </w:tc>
        <w:tc>
          <w:tcPr>
            <w:tcW w:w="2173"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结余</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超支</w:t>
            </w:r>
            <w:r>
              <w:rPr>
                <w:rFonts w:ascii="Times New Roman" w:hAnsi="Times New Roman" w:eastAsia="宋体"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1" w:type="dxa"/>
            <w:shd w:val="clear" w:color="auto" w:fill="auto"/>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公务用车购置及运行维护费</w:t>
            </w:r>
          </w:p>
        </w:tc>
        <w:tc>
          <w:tcPr>
            <w:tcW w:w="1714" w:type="dxa"/>
            <w:tcBorders>
              <w:bottom w:val="single" w:color="auto" w:sz="4" w:space="0"/>
            </w:tcBorders>
            <w:shd w:val="clear" w:color="auto" w:fill="FFFFFF"/>
            <w:vAlign w:val="center"/>
          </w:tcPr>
          <w:p>
            <w:pPr>
              <w:widowControl/>
              <w:spacing w:line="560" w:lineRule="exact"/>
              <w:jc w:val="right"/>
              <w:textAlignment w:val="center"/>
              <w:rPr>
                <w:rFonts w:ascii="Times New Roman" w:hAnsi="Times New Roman" w:cs="Times New Roman"/>
                <w:bCs/>
                <w:szCs w:val="21"/>
              </w:rPr>
            </w:pPr>
            <w:r>
              <w:rPr>
                <w:rFonts w:ascii="Times New Roman" w:hAnsi="Times New Roman" w:eastAsia="宋体" w:cs="Times New Roman"/>
                <w:color w:val="000000"/>
                <w:kern w:val="0"/>
                <w:szCs w:val="21"/>
              </w:rPr>
              <w:t xml:space="preserve">5.00 </w:t>
            </w:r>
          </w:p>
        </w:tc>
        <w:tc>
          <w:tcPr>
            <w:tcW w:w="1933" w:type="dxa"/>
            <w:tcBorders>
              <w:bottom w:val="single" w:color="auto" w:sz="4" w:space="0"/>
            </w:tcBorders>
            <w:vAlign w:val="center"/>
          </w:tcPr>
          <w:p>
            <w:pPr>
              <w:widowControl/>
              <w:spacing w:line="560" w:lineRule="exact"/>
              <w:jc w:val="right"/>
              <w:textAlignment w:val="center"/>
              <w:rPr>
                <w:rFonts w:ascii="Times New Roman" w:hAnsi="Times New Roman" w:cs="Times New Roman"/>
                <w:bCs/>
                <w:szCs w:val="21"/>
              </w:rPr>
            </w:pPr>
            <w:r>
              <w:rPr>
                <w:rFonts w:ascii="Times New Roman" w:hAnsi="Times New Roman" w:eastAsia="宋体" w:cs="Times New Roman"/>
                <w:color w:val="000000"/>
                <w:kern w:val="0"/>
                <w:szCs w:val="21"/>
              </w:rPr>
              <w:t xml:space="preserve">4.18 </w:t>
            </w:r>
          </w:p>
        </w:tc>
        <w:tc>
          <w:tcPr>
            <w:tcW w:w="2173" w:type="dxa"/>
            <w:tcBorders>
              <w:bottom w:val="single" w:color="auto" w:sz="4" w:space="0"/>
            </w:tcBorders>
            <w:vAlign w:val="center"/>
          </w:tcPr>
          <w:p>
            <w:pPr>
              <w:widowControl/>
              <w:spacing w:line="560" w:lineRule="exact"/>
              <w:jc w:val="right"/>
              <w:textAlignment w:val="center"/>
              <w:rPr>
                <w:rFonts w:ascii="Times New Roman" w:hAnsi="Times New Roman" w:cs="Times New Roman"/>
                <w:bCs/>
                <w:szCs w:val="21"/>
              </w:rPr>
            </w:pPr>
            <w:r>
              <w:rPr>
                <w:rFonts w:ascii="Times New Roman" w:hAnsi="Times New Roman" w:eastAsia="宋体" w:cs="Times New Roman"/>
                <w:color w:val="000000"/>
                <w:kern w:val="0"/>
                <w:szCs w:val="21"/>
              </w:rPr>
              <w:t xml:space="preserve">-0.82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1" w:type="dxa"/>
            <w:shd w:val="clear" w:color="auto" w:fill="auto"/>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因公出国（境）费</w:t>
            </w:r>
          </w:p>
        </w:tc>
        <w:tc>
          <w:tcPr>
            <w:tcW w:w="1714" w:type="dxa"/>
            <w:shd w:val="clear" w:color="auto" w:fill="FFFFFF"/>
            <w:vAlign w:val="center"/>
          </w:tcPr>
          <w:p>
            <w:pPr>
              <w:widowControl/>
              <w:spacing w:line="560" w:lineRule="exact"/>
              <w:jc w:val="right"/>
              <w:textAlignment w:val="center"/>
              <w:rPr>
                <w:rFonts w:ascii="Times New Roman" w:hAnsi="Times New Roman" w:cs="Times New Roman"/>
                <w:bCs/>
                <w:szCs w:val="21"/>
              </w:rPr>
            </w:pPr>
            <w:r>
              <w:rPr>
                <w:rFonts w:hint="eastAsia" w:ascii="Times New Roman" w:hAnsi="Times New Roman" w:cs="Times New Roman"/>
                <w:color w:val="000000"/>
                <w:kern w:val="0"/>
                <w:szCs w:val="21"/>
              </w:rPr>
              <w:t>-</w:t>
            </w:r>
            <w:r>
              <w:rPr>
                <w:rFonts w:ascii="Times New Roman" w:hAnsi="Times New Roman" w:eastAsia="宋体" w:cs="Times New Roman"/>
                <w:color w:val="000000"/>
                <w:kern w:val="0"/>
                <w:szCs w:val="21"/>
              </w:rPr>
              <w:t xml:space="preserve"> </w:t>
            </w:r>
          </w:p>
        </w:tc>
        <w:tc>
          <w:tcPr>
            <w:tcW w:w="1933" w:type="dxa"/>
            <w:vAlign w:val="center"/>
          </w:tcPr>
          <w:p>
            <w:pPr>
              <w:widowControl/>
              <w:spacing w:line="560" w:lineRule="exact"/>
              <w:jc w:val="right"/>
              <w:textAlignment w:val="center"/>
              <w:rPr>
                <w:rFonts w:ascii="Times New Roman" w:hAnsi="Times New Roman" w:cs="Times New Roman"/>
                <w:bCs/>
                <w:szCs w:val="21"/>
              </w:rPr>
            </w:pPr>
            <w:r>
              <w:rPr>
                <w:rFonts w:hint="eastAsia" w:ascii="Times New Roman" w:hAnsi="Times New Roman" w:cs="Times New Roman"/>
                <w:color w:val="000000"/>
                <w:kern w:val="0"/>
                <w:szCs w:val="21"/>
              </w:rPr>
              <w:t>-</w:t>
            </w:r>
          </w:p>
        </w:tc>
        <w:tc>
          <w:tcPr>
            <w:tcW w:w="2173" w:type="dxa"/>
            <w:vAlign w:val="center"/>
          </w:tcPr>
          <w:p>
            <w:pPr>
              <w:widowControl/>
              <w:spacing w:line="560" w:lineRule="exact"/>
              <w:jc w:val="right"/>
              <w:textAlignment w:val="center"/>
              <w:rPr>
                <w:rFonts w:ascii="Times New Roman" w:hAnsi="Times New Roman" w:cs="Times New Roman"/>
                <w:bCs/>
                <w:szCs w:val="21"/>
              </w:rPr>
            </w:pPr>
            <w:r>
              <w:rPr>
                <w:rFonts w:hint="eastAsia"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1" w:type="dxa"/>
            <w:shd w:val="clear" w:color="auto" w:fill="auto"/>
            <w:vAlign w:val="center"/>
          </w:tcPr>
          <w:p>
            <w:pPr>
              <w:widowControl/>
              <w:spacing w:line="560" w:lineRule="exact"/>
              <w:jc w:val="center"/>
              <w:textAlignment w:val="center"/>
              <w:rPr>
                <w:rFonts w:ascii="Times New Roman" w:hAnsi="Times New Roman" w:cs="Times New Roman"/>
                <w:color w:val="000000"/>
                <w:kern w:val="0"/>
                <w:szCs w:val="21"/>
              </w:rPr>
            </w:pPr>
            <w:r>
              <w:rPr>
                <w:rFonts w:hint="eastAsia" w:ascii="宋体" w:hAnsi="宋体" w:eastAsia="宋体" w:cs="宋体"/>
                <w:color w:val="000000"/>
                <w:kern w:val="0"/>
                <w:szCs w:val="21"/>
              </w:rPr>
              <w:t>公务接待费</w:t>
            </w:r>
          </w:p>
        </w:tc>
        <w:tc>
          <w:tcPr>
            <w:tcW w:w="1714" w:type="dxa"/>
            <w:shd w:val="clear" w:color="auto" w:fill="FFFFFF"/>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1.00 </w:t>
            </w:r>
          </w:p>
        </w:tc>
        <w:tc>
          <w:tcPr>
            <w:tcW w:w="193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0.00 </w:t>
            </w:r>
          </w:p>
        </w:tc>
        <w:tc>
          <w:tcPr>
            <w:tcW w:w="2173" w:type="dxa"/>
            <w:vAlign w:val="center"/>
          </w:tcPr>
          <w:p>
            <w:pPr>
              <w:widowControl/>
              <w:spacing w:line="560" w:lineRule="exact"/>
              <w:jc w:val="right"/>
              <w:textAlignment w:val="center"/>
              <w:rPr>
                <w:rFonts w:ascii="Times New Roman" w:hAnsi="Times New Roman" w:cs="Times New Roman"/>
                <w:bCs/>
                <w:szCs w:val="21"/>
              </w:rPr>
            </w:pPr>
            <w:r>
              <w:rPr>
                <w:rFonts w:ascii="Times New Roman" w:hAnsi="Times New Roman" w:eastAsia="宋体" w:cs="Times New Roman"/>
                <w:color w:val="000000"/>
                <w:kern w:val="0"/>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1" w:type="dxa"/>
            <w:shd w:val="clear" w:color="auto" w:fill="auto"/>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合计</w:t>
            </w:r>
          </w:p>
        </w:tc>
        <w:tc>
          <w:tcPr>
            <w:tcW w:w="1714" w:type="dxa"/>
            <w:tcBorders>
              <w:bottom w:val="single" w:color="auto" w:sz="4" w:space="0"/>
            </w:tcBorders>
            <w:shd w:val="clear" w:color="auto" w:fill="FFFFFF"/>
            <w:vAlign w:val="center"/>
          </w:tcPr>
          <w:p>
            <w:pPr>
              <w:widowControl/>
              <w:spacing w:line="560" w:lineRule="exact"/>
              <w:jc w:val="right"/>
              <w:textAlignment w:val="center"/>
              <w:rPr>
                <w:rFonts w:ascii="Times New Roman" w:hAnsi="Times New Roman" w:cs="Times New Roman"/>
                <w:szCs w:val="21"/>
              </w:rPr>
            </w:pPr>
            <w:r>
              <w:rPr>
                <w:rFonts w:ascii="Times New Roman" w:hAnsi="Times New Roman" w:eastAsia="宋体" w:cs="Times New Roman"/>
                <w:color w:val="000000"/>
                <w:kern w:val="0"/>
                <w:szCs w:val="21"/>
              </w:rPr>
              <w:t xml:space="preserve">6.00 </w:t>
            </w:r>
          </w:p>
        </w:tc>
        <w:tc>
          <w:tcPr>
            <w:tcW w:w="1933" w:type="dxa"/>
            <w:tcBorders>
              <w:bottom w:val="single" w:color="auto" w:sz="4" w:space="0"/>
            </w:tcBorders>
            <w:vAlign w:val="center"/>
          </w:tcPr>
          <w:p>
            <w:pPr>
              <w:widowControl/>
              <w:spacing w:line="560" w:lineRule="exact"/>
              <w:jc w:val="right"/>
              <w:textAlignment w:val="center"/>
              <w:rPr>
                <w:rFonts w:ascii="Times New Roman" w:hAnsi="Times New Roman" w:cs="Times New Roman"/>
                <w:szCs w:val="21"/>
              </w:rPr>
            </w:pPr>
            <w:r>
              <w:rPr>
                <w:rFonts w:ascii="Times New Roman" w:hAnsi="Times New Roman" w:eastAsia="宋体" w:cs="Times New Roman"/>
                <w:color w:val="000000"/>
                <w:kern w:val="0"/>
                <w:szCs w:val="21"/>
              </w:rPr>
              <w:t xml:space="preserve">4.18 </w:t>
            </w:r>
          </w:p>
        </w:tc>
        <w:tc>
          <w:tcPr>
            <w:tcW w:w="2173" w:type="dxa"/>
            <w:tcBorders>
              <w:bottom w:val="single" w:color="auto" w:sz="4" w:space="0"/>
            </w:tcBorders>
            <w:vAlign w:val="center"/>
          </w:tcPr>
          <w:p>
            <w:pPr>
              <w:widowControl/>
              <w:spacing w:line="560" w:lineRule="exact"/>
              <w:jc w:val="right"/>
              <w:textAlignment w:val="center"/>
              <w:rPr>
                <w:rFonts w:ascii="Times New Roman" w:hAnsi="Times New Roman" w:cs="Times New Roman"/>
                <w:szCs w:val="21"/>
              </w:rPr>
            </w:pPr>
            <w:r>
              <w:rPr>
                <w:rFonts w:hint="eastAsia" w:ascii="Times New Roman" w:hAnsi="Times New Roman" w:eastAsia="宋体" w:cs="Times New Roman"/>
                <w:color w:val="000000"/>
                <w:kern w:val="0"/>
                <w:szCs w:val="21"/>
              </w:rPr>
              <w:t>-1.82</w:t>
            </w:r>
            <w:r>
              <w:rPr>
                <w:rFonts w:hint="eastAsia" w:ascii="宋体" w:hAnsi="宋体" w:eastAsia="宋体" w:cs="宋体"/>
                <w:color w:val="000000"/>
                <w:kern w:val="0"/>
                <w:sz w:val="22"/>
              </w:rPr>
              <w:t xml:space="preserve"> </w:t>
            </w:r>
          </w:p>
        </w:tc>
      </w:tr>
    </w:tbl>
    <w:p>
      <w:pPr>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从上表分析，</w:t>
      </w:r>
      <w:r>
        <w:rPr>
          <w:rFonts w:hint="eastAsia" w:ascii="Times New Roman" w:hAnsi="Times New Roman" w:eastAsia="仿宋_GB2312" w:cs="Times New Roman"/>
          <w:spacing w:val="-10"/>
          <w:sz w:val="32"/>
          <w:szCs w:val="32"/>
        </w:rPr>
        <w:t>2020</w:t>
      </w:r>
      <w:r>
        <w:rPr>
          <w:rFonts w:ascii="Times New Roman" w:hAnsi="Times New Roman" w:eastAsia="仿宋_GB2312" w:cs="Times New Roman"/>
          <w:spacing w:val="-10"/>
          <w:sz w:val="32"/>
          <w:szCs w:val="32"/>
        </w:rPr>
        <w:t>年三公经费年初预算支出</w:t>
      </w:r>
      <w:r>
        <w:rPr>
          <w:rFonts w:hint="eastAsia" w:ascii="Times New Roman" w:hAnsi="Times New Roman" w:eastAsia="仿宋_GB2312" w:cs="Times New Roman"/>
          <w:spacing w:val="-10"/>
          <w:sz w:val="32"/>
          <w:szCs w:val="32"/>
        </w:rPr>
        <w:t>6.00</w:t>
      </w:r>
      <w:r>
        <w:rPr>
          <w:rFonts w:ascii="Times New Roman" w:hAnsi="Times New Roman" w:eastAsia="仿宋_GB2312" w:cs="Times New Roman"/>
          <w:spacing w:val="-10"/>
          <w:sz w:val="32"/>
          <w:szCs w:val="32"/>
        </w:rPr>
        <w:t>万元，决算支出</w:t>
      </w:r>
      <w:r>
        <w:rPr>
          <w:rFonts w:hint="eastAsia" w:ascii="Times New Roman" w:hAnsi="Times New Roman" w:eastAsia="仿宋_GB2312" w:cs="Times New Roman"/>
          <w:spacing w:val="-10"/>
          <w:sz w:val="32"/>
          <w:szCs w:val="32"/>
        </w:rPr>
        <w:t>4.18</w:t>
      </w:r>
      <w:r>
        <w:rPr>
          <w:rFonts w:ascii="Times New Roman" w:hAnsi="Times New Roman" w:eastAsia="仿宋_GB2312" w:cs="Times New Roman"/>
          <w:spacing w:val="-10"/>
          <w:sz w:val="32"/>
          <w:szCs w:val="32"/>
        </w:rPr>
        <w:t>万元，较预算结余</w:t>
      </w:r>
      <w:r>
        <w:rPr>
          <w:rFonts w:hint="eastAsia" w:ascii="Times New Roman" w:hAnsi="Times New Roman" w:eastAsia="仿宋_GB2312" w:cs="Times New Roman"/>
          <w:spacing w:val="-10"/>
          <w:sz w:val="32"/>
          <w:szCs w:val="32"/>
        </w:rPr>
        <w:t>1.82</w:t>
      </w:r>
      <w:r>
        <w:rPr>
          <w:rFonts w:ascii="Times New Roman" w:hAnsi="Times New Roman" w:eastAsia="仿宋_GB2312" w:cs="Times New Roman"/>
          <w:spacing w:val="-10"/>
          <w:sz w:val="32"/>
          <w:szCs w:val="32"/>
        </w:rPr>
        <w:t>万元，三公经费总额及分项均控制在预算范围内。</w:t>
      </w:r>
    </w:p>
    <w:p>
      <w:pPr>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（2）与上年度比较“三公经费”控制情况</w:t>
      </w:r>
    </w:p>
    <w:p>
      <w:pPr>
        <w:spacing w:before="20" w:after="20" w:line="560" w:lineRule="exact"/>
        <w:jc w:val="right"/>
        <w:rPr>
          <w:rFonts w:ascii="Times New Roman" w:hAnsi="Times New Roman" w:cs="Times New Roman"/>
          <w:spacing w:val="-10"/>
          <w:sz w:val="20"/>
          <w:szCs w:val="20"/>
        </w:rPr>
      </w:pPr>
      <w:r>
        <w:rPr>
          <w:rFonts w:ascii="Times New Roman" w:hAnsi="Times New Roman" w:cs="Times New Roman"/>
          <w:spacing w:val="-10"/>
          <w:sz w:val="20"/>
          <w:szCs w:val="20"/>
        </w:rPr>
        <w:t>金额单位：万元</w:t>
      </w:r>
    </w:p>
    <w:tbl>
      <w:tblPr>
        <w:tblStyle w:val="7"/>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1523"/>
        <w:gridCol w:w="1717"/>
        <w:gridCol w:w="1302"/>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856" w:type="dxa"/>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项目内容</w:t>
            </w:r>
          </w:p>
        </w:tc>
        <w:tc>
          <w:tcPr>
            <w:tcW w:w="1523"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本年决算金额</w:t>
            </w:r>
          </w:p>
        </w:tc>
        <w:tc>
          <w:tcPr>
            <w:tcW w:w="1717"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上年决算金额</w:t>
            </w:r>
          </w:p>
        </w:tc>
        <w:tc>
          <w:tcPr>
            <w:tcW w:w="1302"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增减额</w:t>
            </w:r>
          </w:p>
        </w:tc>
        <w:tc>
          <w:tcPr>
            <w:tcW w:w="1368" w:type="dxa"/>
            <w:tcBorders>
              <w:bottom w:val="single" w:color="auto" w:sz="4" w:space="0"/>
            </w:tcBorders>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增减率（</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6" w:type="dxa"/>
            <w:shd w:val="clear" w:color="auto" w:fill="auto"/>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公务用车购置及运行维护费</w:t>
            </w:r>
          </w:p>
        </w:tc>
        <w:tc>
          <w:tcPr>
            <w:tcW w:w="1523" w:type="dxa"/>
            <w:tcBorders>
              <w:bottom w:val="single" w:color="auto" w:sz="4" w:space="0"/>
            </w:tcBorders>
            <w:shd w:val="clear" w:color="auto" w:fill="FFFFFF"/>
            <w:vAlign w:val="center"/>
          </w:tcPr>
          <w:p>
            <w:pPr>
              <w:widowControl/>
              <w:spacing w:line="560" w:lineRule="exact"/>
              <w:jc w:val="righ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4.18</w:t>
            </w:r>
          </w:p>
        </w:tc>
        <w:tc>
          <w:tcPr>
            <w:tcW w:w="1717" w:type="dxa"/>
            <w:tcBorders>
              <w:bottom w:val="single" w:color="auto" w:sz="4" w:space="0"/>
            </w:tcBorders>
            <w:vAlign w:val="center"/>
          </w:tcPr>
          <w:p>
            <w:pPr>
              <w:widowControl/>
              <w:spacing w:line="560" w:lineRule="exact"/>
              <w:jc w:val="right"/>
              <w:textAlignment w:val="center"/>
              <w:rPr>
                <w:rFonts w:ascii="Times New Roman" w:hAnsi="Times New Roman" w:cs="Times New Roman"/>
                <w:bCs/>
                <w:szCs w:val="21"/>
              </w:rPr>
            </w:pPr>
            <w:r>
              <w:rPr>
                <w:rFonts w:ascii="Times New Roman" w:hAnsi="Times New Roman" w:eastAsia="宋体" w:cs="Times New Roman"/>
                <w:color w:val="000000"/>
                <w:kern w:val="0"/>
                <w:szCs w:val="21"/>
              </w:rPr>
              <w:t>7.75</w:t>
            </w:r>
          </w:p>
        </w:tc>
        <w:tc>
          <w:tcPr>
            <w:tcW w:w="1302" w:type="dxa"/>
            <w:tcBorders>
              <w:bottom w:val="single" w:color="auto" w:sz="4" w:space="0"/>
            </w:tcBorders>
            <w:vAlign w:val="center"/>
          </w:tcPr>
          <w:p>
            <w:pPr>
              <w:widowControl/>
              <w:spacing w:line="560" w:lineRule="exact"/>
              <w:jc w:val="right"/>
              <w:textAlignment w:val="center"/>
              <w:rPr>
                <w:rFonts w:ascii="Times New Roman" w:hAnsi="Times New Roman" w:cs="Times New Roman"/>
                <w:bCs/>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3.57</w:t>
            </w:r>
          </w:p>
        </w:tc>
        <w:tc>
          <w:tcPr>
            <w:tcW w:w="1368" w:type="dxa"/>
            <w:tcBorders>
              <w:bottom w:val="single" w:color="auto" w:sz="4" w:space="0"/>
            </w:tcBorders>
            <w:vAlign w:val="center"/>
          </w:tcPr>
          <w:p>
            <w:pPr>
              <w:widowControl/>
              <w:tabs>
                <w:tab w:val="left" w:pos="348"/>
                <w:tab w:val="right" w:pos="1273"/>
              </w:tabs>
              <w:spacing w:line="560" w:lineRule="exact"/>
              <w:jc w:val="left"/>
              <w:textAlignment w:val="center"/>
              <w:rPr>
                <w:rFonts w:ascii="Times New Roman" w:hAnsi="Times New Roman" w:cs="Times New Roman"/>
                <w:bCs/>
                <w:szCs w:val="21"/>
              </w:rPr>
            </w:pPr>
            <w:r>
              <w:rPr>
                <w:rFonts w:hint="eastAsia" w:ascii="Times New Roman" w:hAnsi="Times New Roman" w:eastAsia="宋体" w:cs="Times New Roman"/>
                <w:color w:val="000000"/>
                <w:kern w:val="0"/>
                <w:szCs w:val="21"/>
              </w:rPr>
              <w:tab/>
            </w:r>
            <w:r>
              <w:rPr>
                <w:rFonts w:hint="eastAsia" w:ascii="Times New Roman" w:hAnsi="Times New Roman" w:eastAsia="宋体" w:cs="Times New Roman"/>
                <w:color w:val="000000"/>
                <w:kern w:val="0"/>
                <w:szCs w:val="21"/>
              </w:rPr>
              <w:tab/>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46.06%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6" w:type="dxa"/>
            <w:shd w:val="clear" w:color="auto" w:fill="auto"/>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因公出国（境）费</w:t>
            </w:r>
          </w:p>
        </w:tc>
        <w:tc>
          <w:tcPr>
            <w:tcW w:w="1523" w:type="dxa"/>
            <w:shd w:val="clear" w:color="auto" w:fill="FFFFFF"/>
            <w:vAlign w:val="center"/>
          </w:tcPr>
          <w:p>
            <w:pPr>
              <w:widowControl/>
              <w:spacing w:line="560" w:lineRule="exact"/>
              <w:jc w:val="righ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1717" w:type="dxa"/>
            <w:vAlign w:val="center"/>
          </w:tcPr>
          <w:p>
            <w:pPr>
              <w:spacing w:line="560" w:lineRule="exact"/>
              <w:jc w:val="right"/>
              <w:rPr>
                <w:rFonts w:ascii="Times New Roman" w:hAnsi="Times New Roman" w:cs="Times New Roman"/>
                <w:bCs/>
                <w:szCs w:val="21"/>
              </w:rPr>
            </w:pPr>
            <w:r>
              <w:rPr>
                <w:rFonts w:hint="eastAsia" w:ascii="Times New Roman" w:hAnsi="Times New Roman" w:cs="Times New Roman"/>
                <w:bCs/>
                <w:szCs w:val="21"/>
              </w:rPr>
              <w:t>-</w:t>
            </w:r>
          </w:p>
        </w:tc>
        <w:tc>
          <w:tcPr>
            <w:tcW w:w="1302" w:type="dxa"/>
            <w:vAlign w:val="center"/>
          </w:tcPr>
          <w:p>
            <w:pPr>
              <w:spacing w:line="560" w:lineRule="exact"/>
              <w:jc w:val="right"/>
              <w:rPr>
                <w:rFonts w:ascii="Times New Roman" w:hAnsi="Times New Roman" w:cs="Times New Roman"/>
                <w:bCs/>
                <w:szCs w:val="21"/>
              </w:rPr>
            </w:pPr>
            <w:r>
              <w:rPr>
                <w:rFonts w:hint="eastAsia" w:ascii="Times New Roman" w:hAnsi="Times New Roman" w:cs="Times New Roman"/>
                <w:bCs/>
                <w:szCs w:val="21"/>
              </w:rPr>
              <w:t>-</w:t>
            </w:r>
          </w:p>
        </w:tc>
        <w:tc>
          <w:tcPr>
            <w:tcW w:w="1368" w:type="dxa"/>
            <w:vAlign w:val="center"/>
          </w:tcPr>
          <w:p>
            <w:pPr>
              <w:spacing w:line="560" w:lineRule="exact"/>
              <w:jc w:val="right"/>
              <w:rPr>
                <w:rFonts w:ascii="Times New Roman" w:hAnsi="Times New Roman" w:cs="Times New Roman"/>
                <w:bCs/>
                <w:szCs w:val="21"/>
              </w:rPr>
            </w:pPr>
            <w:r>
              <w:rPr>
                <w:rFonts w:hint="eastAsia"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6" w:type="dxa"/>
            <w:shd w:val="clear" w:color="auto" w:fill="auto"/>
            <w:vAlign w:val="center"/>
          </w:tcPr>
          <w:p>
            <w:pPr>
              <w:widowControl/>
              <w:spacing w:line="560" w:lineRule="exact"/>
              <w:jc w:val="center"/>
              <w:textAlignment w:val="center"/>
              <w:rPr>
                <w:rFonts w:ascii="Times New Roman" w:hAnsi="Times New Roman" w:cs="Times New Roman"/>
                <w:color w:val="000000"/>
                <w:kern w:val="0"/>
                <w:szCs w:val="21"/>
              </w:rPr>
            </w:pPr>
            <w:r>
              <w:rPr>
                <w:rFonts w:hint="eastAsia" w:ascii="宋体" w:hAnsi="宋体" w:eastAsia="宋体" w:cs="宋体"/>
                <w:color w:val="000000"/>
                <w:kern w:val="0"/>
                <w:szCs w:val="21"/>
              </w:rPr>
              <w:t>公务接待费</w:t>
            </w:r>
          </w:p>
        </w:tc>
        <w:tc>
          <w:tcPr>
            <w:tcW w:w="1523" w:type="dxa"/>
            <w:shd w:val="clear" w:color="auto" w:fill="FFFFFF"/>
            <w:vAlign w:val="center"/>
          </w:tcPr>
          <w:p>
            <w:pPr>
              <w:widowControl/>
              <w:spacing w:line="560" w:lineRule="exact"/>
              <w:jc w:val="righ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1717"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0.11</w:t>
            </w:r>
          </w:p>
        </w:tc>
        <w:tc>
          <w:tcPr>
            <w:tcW w:w="1302" w:type="dxa"/>
            <w:vAlign w:val="center"/>
          </w:tcPr>
          <w:p>
            <w:pPr>
              <w:widowControl/>
              <w:tabs>
                <w:tab w:val="center" w:pos="543"/>
                <w:tab w:val="right" w:pos="1206"/>
              </w:tabs>
              <w:spacing w:line="560" w:lineRule="exact"/>
              <w:jc w:val="right"/>
              <w:textAlignment w:val="center"/>
              <w:rPr>
                <w:rFonts w:ascii="Times New Roman" w:hAnsi="Times New Roman" w:cs="Times New Roman"/>
                <w:bCs/>
                <w:szCs w:val="21"/>
              </w:rPr>
            </w:pPr>
            <w:r>
              <w:rPr>
                <w:rFonts w:hint="eastAsia" w:ascii="Times New Roman" w:hAnsi="Times New Roman" w:eastAsia="宋体" w:cs="Times New Roman"/>
                <w:color w:val="000000"/>
                <w:kern w:val="0"/>
                <w:szCs w:val="21"/>
              </w:rPr>
              <w:tab/>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0.11</w:t>
            </w:r>
          </w:p>
        </w:tc>
        <w:tc>
          <w:tcPr>
            <w:tcW w:w="1368" w:type="dxa"/>
            <w:vAlign w:val="center"/>
          </w:tcPr>
          <w:p>
            <w:pPr>
              <w:widowControl/>
              <w:spacing w:line="560" w:lineRule="exact"/>
              <w:jc w:val="right"/>
              <w:textAlignment w:val="center"/>
              <w:rPr>
                <w:rFonts w:ascii="Times New Roman" w:hAnsi="Times New Roman" w:cs="Times New Roman"/>
                <w:bCs/>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6" w:type="dxa"/>
            <w:shd w:val="clear" w:color="auto" w:fill="auto"/>
            <w:vAlign w:val="center"/>
          </w:tcPr>
          <w:p>
            <w:pPr>
              <w:widowControl/>
              <w:spacing w:line="560" w:lineRule="exact"/>
              <w:jc w:val="center"/>
              <w:textAlignment w:val="center"/>
              <w:rPr>
                <w:rFonts w:ascii="Times New Roman" w:hAnsi="Times New Roman" w:cs="Times New Roman"/>
                <w:szCs w:val="21"/>
              </w:rPr>
            </w:pPr>
            <w:r>
              <w:rPr>
                <w:rFonts w:hint="eastAsia" w:ascii="宋体" w:hAnsi="宋体" w:eastAsia="宋体" w:cs="宋体"/>
                <w:color w:val="000000"/>
                <w:kern w:val="0"/>
                <w:szCs w:val="21"/>
              </w:rPr>
              <w:t>合计</w:t>
            </w:r>
          </w:p>
        </w:tc>
        <w:tc>
          <w:tcPr>
            <w:tcW w:w="1523" w:type="dxa"/>
            <w:tcBorders>
              <w:bottom w:val="single" w:color="auto" w:sz="4" w:space="0"/>
            </w:tcBorders>
            <w:shd w:val="clear" w:color="auto" w:fill="FFFFFF"/>
            <w:vAlign w:val="center"/>
          </w:tcPr>
          <w:p>
            <w:pPr>
              <w:widowControl/>
              <w:spacing w:line="560" w:lineRule="exact"/>
              <w:jc w:val="righ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4.18</w:t>
            </w:r>
          </w:p>
        </w:tc>
        <w:tc>
          <w:tcPr>
            <w:tcW w:w="1717" w:type="dxa"/>
            <w:tcBorders>
              <w:bottom w:val="single" w:color="auto" w:sz="4" w:space="0"/>
            </w:tcBorders>
            <w:vAlign w:val="center"/>
          </w:tcPr>
          <w:p>
            <w:pPr>
              <w:widowControl/>
              <w:spacing w:line="560" w:lineRule="exact"/>
              <w:jc w:val="right"/>
              <w:textAlignment w:val="center"/>
              <w:rPr>
                <w:rFonts w:ascii="Times New Roman" w:hAnsi="Times New Roman" w:cs="Times New Roman"/>
                <w:szCs w:val="21"/>
              </w:rPr>
            </w:pPr>
            <w:r>
              <w:rPr>
                <w:rFonts w:ascii="Times New Roman" w:hAnsi="Times New Roman" w:eastAsia="宋体" w:cs="Times New Roman"/>
                <w:color w:val="000000"/>
                <w:kern w:val="0"/>
                <w:szCs w:val="21"/>
              </w:rPr>
              <w:t>7.86</w:t>
            </w:r>
          </w:p>
        </w:tc>
        <w:tc>
          <w:tcPr>
            <w:tcW w:w="1302" w:type="dxa"/>
            <w:tcBorders>
              <w:bottom w:val="single" w:color="auto" w:sz="4" w:space="0"/>
            </w:tcBorders>
            <w:vAlign w:val="center"/>
          </w:tcPr>
          <w:p>
            <w:pPr>
              <w:widowControl/>
              <w:spacing w:line="560" w:lineRule="exact"/>
              <w:jc w:val="right"/>
              <w:textAlignment w:val="center"/>
              <w:rPr>
                <w:rFonts w:ascii="Times New Roman" w:hAnsi="Times New Roman" w:cs="Times New Roman"/>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3.68</w:t>
            </w:r>
          </w:p>
        </w:tc>
        <w:tc>
          <w:tcPr>
            <w:tcW w:w="1368" w:type="dxa"/>
            <w:tcBorders>
              <w:bottom w:val="single" w:color="auto" w:sz="4" w:space="0"/>
            </w:tcBorders>
            <w:vAlign w:val="center"/>
          </w:tcPr>
          <w:p>
            <w:pPr>
              <w:widowControl/>
              <w:spacing w:line="560" w:lineRule="exact"/>
              <w:jc w:val="right"/>
              <w:textAlignment w:val="center"/>
              <w:rPr>
                <w:rFonts w:ascii="Times New Roman" w:hAnsi="Times New Roman" w:cs="Times New Roman"/>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46.82%</w:t>
            </w:r>
          </w:p>
        </w:tc>
      </w:tr>
    </w:tbl>
    <w:p>
      <w:pPr>
        <w:adjustRightInd w:val="0"/>
        <w:snapToGrid w:val="0"/>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与上年比较，三公经费总额减少</w:t>
      </w:r>
      <w:r>
        <w:rPr>
          <w:rFonts w:hint="eastAsia" w:ascii="Times New Roman" w:hAnsi="Times New Roman" w:eastAsia="仿宋_GB2312" w:cs="Times New Roman"/>
          <w:spacing w:val="-10"/>
          <w:sz w:val="32"/>
          <w:szCs w:val="32"/>
        </w:rPr>
        <w:t>3.68</w:t>
      </w:r>
      <w:r>
        <w:rPr>
          <w:rFonts w:ascii="Times New Roman" w:hAnsi="Times New Roman" w:eastAsia="仿宋_GB2312" w:cs="Times New Roman"/>
          <w:spacing w:val="-10"/>
          <w:sz w:val="32"/>
          <w:szCs w:val="32"/>
        </w:rPr>
        <w:t>万元，降幅</w:t>
      </w:r>
      <w:r>
        <w:rPr>
          <w:rFonts w:hint="eastAsia" w:ascii="Times New Roman" w:hAnsi="Times New Roman" w:eastAsia="仿宋_GB2312" w:cs="Times New Roman"/>
          <w:spacing w:val="-10"/>
          <w:sz w:val="32"/>
          <w:szCs w:val="32"/>
        </w:rPr>
        <w:t>46.82</w:t>
      </w:r>
      <w:r>
        <w:rPr>
          <w:rFonts w:ascii="Times New Roman" w:hAnsi="Times New Roman" w:eastAsia="仿宋_GB2312" w:cs="Times New Roman"/>
          <w:spacing w:val="-10"/>
          <w:sz w:val="32"/>
          <w:szCs w:val="32"/>
        </w:rPr>
        <w:t>%，其中公务用车购置及运行维护费</w:t>
      </w:r>
      <w:r>
        <w:rPr>
          <w:rFonts w:hint="eastAsia" w:ascii="Times New Roman" w:hAnsi="Times New Roman" w:eastAsia="仿宋_GB2312" w:cs="Times New Roman"/>
          <w:spacing w:val="-10"/>
          <w:sz w:val="32"/>
          <w:szCs w:val="32"/>
        </w:rPr>
        <w:t>减少3.57</w:t>
      </w:r>
      <w:r>
        <w:rPr>
          <w:rFonts w:ascii="Times New Roman" w:hAnsi="Times New Roman" w:eastAsia="仿宋_GB2312" w:cs="Times New Roman"/>
          <w:spacing w:val="-10"/>
          <w:sz w:val="32"/>
          <w:szCs w:val="32"/>
        </w:rPr>
        <w:t>万元，降幅</w:t>
      </w:r>
      <w:r>
        <w:rPr>
          <w:rFonts w:hint="eastAsia" w:ascii="Times New Roman" w:hAnsi="Times New Roman" w:eastAsia="仿宋_GB2312" w:cs="Times New Roman"/>
          <w:spacing w:val="-10"/>
          <w:sz w:val="32"/>
          <w:szCs w:val="32"/>
        </w:rPr>
        <w:t>46.06</w:t>
      </w:r>
      <w:r>
        <w:rPr>
          <w:rFonts w:ascii="Times New Roman" w:hAnsi="Times New Roman" w:eastAsia="仿宋_GB2312" w:cs="Times New Roman"/>
          <w:spacing w:val="-10"/>
          <w:sz w:val="32"/>
          <w:szCs w:val="32"/>
        </w:rPr>
        <w:t>%；公务接待费减少</w:t>
      </w:r>
      <w:r>
        <w:rPr>
          <w:rFonts w:hint="eastAsia" w:ascii="Times New Roman" w:hAnsi="Times New Roman" w:eastAsia="仿宋_GB2312" w:cs="Times New Roman"/>
          <w:spacing w:val="-10"/>
          <w:sz w:val="32"/>
          <w:szCs w:val="32"/>
        </w:rPr>
        <w:t>0.11</w:t>
      </w:r>
      <w:r>
        <w:rPr>
          <w:rFonts w:ascii="Times New Roman" w:hAnsi="Times New Roman" w:eastAsia="仿宋_GB2312" w:cs="Times New Roman"/>
          <w:spacing w:val="-10"/>
          <w:sz w:val="32"/>
          <w:szCs w:val="32"/>
        </w:rPr>
        <w:t>万元，降幅</w:t>
      </w:r>
      <w:r>
        <w:rPr>
          <w:rFonts w:hint="eastAsia" w:ascii="Times New Roman" w:hAnsi="Times New Roman" w:eastAsia="仿宋_GB2312" w:cs="Times New Roman"/>
          <w:spacing w:val="-10"/>
          <w:sz w:val="32"/>
          <w:szCs w:val="32"/>
        </w:rPr>
        <w:t>100</w:t>
      </w:r>
      <w:r>
        <w:rPr>
          <w:rFonts w:ascii="Times New Roman" w:hAnsi="Times New Roman" w:eastAsia="仿宋_GB2312" w:cs="Times New Roman"/>
          <w:spacing w:val="-10"/>
          <w:sz w:val="32"/>
          <w:szCs w:val="32"/>
        </w:rPr>
        <w:t>%，新区土储中心在公务接待费方面控制效果较明显。</w:t>
      </w:r>
    </w:p>
    <w:p>
      <w:pPr>
        <w:adjustRightInd w:val="0"/>
        <w:snapToGrid w:val="0"/>
        <w:spacing w:before="20" w:after="20" w:line="560" w:lineRule="exact"/>
        <w:ind w:firstLine="603" w:firstLineChars="200"/>
        <w:outlineLvl w:val="0"/>
        <w:rPr>
          <w:rFonts w:ascii="Times New Roman" w:hAnsi="Times New Roman" w:eastAsia="仿宋_GB2312" w:cs="Times New Roman"/>
          <w:b/>
          <w:bCs/>
          <w:spacing w:val="-10"/>
          <w:sz w:val="32"/>
          <w:szCs w:val="32"/>
          <w:lang w:val="zh-CN"/>
        </w:rPr>
      </w:pPr>
      <w:r>
        <w:rPr>
          <w:rFonts w:ascii="Times New Roman" w:hAnsi="Times New Roman" w:eastAsia="仿宋_GB2312" w:cs="Times New Roman"/>
          <w:b/>
          <w:bCs/>
          <w:spacing w:val="-10"/>
          <w:sz w:val="32"/>
          <w:szCs w:val="32"/>
        </w:rPr>
        <w:t>3.</w:t>
      </w:r>
      <w:r>
        <w:rPr>
          <w:rFonts w:ascii="Times New Roman" w:hAnsi="Times New Roman" w:eastAsia="仿宋_GB2312" w:cs="Times New Roman"/>
          <w:b/>
          <w:bCs/>
          <w:spacing w:val="-10"/>
          <w:sz w:val="32"/>
          <w:szCs w:val="32"/>
          <w:lang w:val="zh-CN"/>
        </w:rPr>
        <w:t>项目支出</w:t>
      </w:r>
    </w:p>
    <w:p>
      <w:pPr>
        <w:adjustRightInd w:val="0"/>
        <w:snapToGrid w:val="0"/>
        <w:spacing w:line="560" w:lineRule="exact"/>
        <w:ind w:firstLine="600" w:firstLineChars="200"/>
        <w:rPr>
          <w:rFonts w:ascii="Times New Roman" w:hAnsi="Times New Roman" w:eastAsia="仿宋_GB2312" w:cs="Times New Roman"/>
          <w:spacing w:val="-10"/>
          <w:sz w:val="32"/>
          <w:szCs w:val="32"/>
          <w:lang w:val="zh-CN"/>
        </w:rPr>
      </w:pPr>
      <w:r>
        <w:rPr>
          <w:rFonts w:ascii="Times New Roman" w:hAnsi="Times New Roman" w:eastAsia="仿宋_GB2312" w:cs="Times New Roman"/>
          <w:spacing w:val="-10"/>
          <w:sz w:val="32"/>
          <w:szCs w:val="32"/>
          <w:lang w:val="zh-CN"/>
        </w:rPr>
        <w:t>项目支出是在基本支出之外为完成其特定的工作任务而发生的支出，主要用于党建及宣传方面。</w:t>
      </w:r>
    </w:p>
    <w:p>
      <w:pPr>
        <w:adjustRightInd w:val="0"/>
        <w:snapToGrid w:val="0"/>
        <w:spacing w:before="20" w:after="20" w:line="560" w:lineRule="exact"/>
        <w:ind w:firstLine="600" w:firstLineChars="200"/>
        <w:rPr>
          <w:rFonts w:ascii="Times New Roman" w:hAnsi="Times New Roman" w:eastAsia="仿宋_GB2312" w:cs="Times New Roman"/>
          <w:spacing w:val="-10"/>
          <w:sz w:val="32"/>
          <w:szCs w:val="32"/>
          <w:lang w:val="zh-CN"/>
        </w:rPr>
      </w:pPr>
      <w:r>
        <w:rPr>
          <w:rFonts w:ascii="Times New Roman" w:hAnsi="Times New Roman" w:eastAsia="仿宋_GB2312" w:cs="Times New Roman"/>
          <w:spacing w:val="-10"/>
          <w:sz w:val="32"/>
          <w:szCs w:val="32"/>
          <w:lang w:val="zh-CN"/>
        </w:rPr>
        <w:t>（</w:t>
      </w:r>
      <w:r>
        <w:rPr>
          <w:rFonts w:ascii="Times New Roman" w:hAnsi="Times New Roman" w:eastAsia="仿宋_GB2312" w:cs="Times New Roman"/>
          <w:spacing w:val="-10"/>
          <w:sz w:val="32"/>
          <w:szCs w:val="32"/>
        </w:rPr>
        <w:t>1</w:t>
      </w:r>
      <w:r>
        <w:rPr>
          <w:rFonts w:ascii="Times New Roman" w:hAnsi="Times New Roman" w:eastAsia="仿宋_GB2312" w:cs="Times New Roman"/>
          <w:spacing w:val="-10"/>
          <w:sz w:val="32"/>
          <w:szCs w:val="32"/>
          <w:lang w:val="zh-CN"/>
        </w:rPr>
        <w:t>）项目资金实际使用情况</w:t>
      </w:r>
    </w:p>
    <w:p>
      <w:pPr>
        <w:widowControl/>
        <w:adjustRightInd w:val="0"/>
        <w:snapToGrid w:val="0"/>
        <w:spacing w:line="560" w:lineRule="exact"/>
        <w:ind w:firstLine="600" w:firstLineChars="200"/>
        <w:jc w:val="left"/>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2020</w:t>
      </w:r>
      <w:r>
        <w:rPr>
          <w:rFonts w:ascii="Times New Roman" w:hAnsi="Times New Roman" w:eastAsia="仿宋_GB2312" w:cs="Times New Roman"/>
          <w:spacing w:val="-10"/>
          <w:sz w:val="32"/>
          <w:szCs w:val="32"/>
        </w:rPr>
        <w:t>年新区土储中心项目支出年初预算为</w:t>
      </w:r>
      <w:r>
        <w:rPr>
          <w:rFonts w:hint="eastAsia" w:ascii="Times New Roman" w:hAnsi="Times New Roman" w:eastAsia="仿宋_GB2312" w:cs="Times New Roman"/>
          <w:spacing w:val="-10"/>
          <w:sz w:val="32"/>
          <w:szCs w:val="32"/>
        </w:rPr>
        <w:t>10.00</w:t>
      </w:r>
      <w:r>
        <w:rPr>
          <w:rFonts w:ascii="Times New Roman" w:hAnsi="Times New Roman" w:eastAsia="仿宋_GB2312" w:cs="Times New Roman"/>
          <w:spacing w:val="-10"/>
          <w:sz w:val="32"/>
          <w:szCs w:val="32"/>
        </w:rPr>
        <w:t>万元，年中调减预算</w:t>
      </w:r>
      <w:r>
        <w:rPr>
          <w:rFonts w:hint="eastAsia" w:ascii="Times New Roman" w:hAnsi="Times New Roman" w:eastAsia="仿宋_GB2312" w:cs="Times New Roman"/>
          <w:spacing w:val="-10"/>
          <w:sz w:val="32"/>
          <w:szCs w:val="32"/>
        </w:rPr>
        <w:t>2.00</w:t>
      </w:r>
      <w:r>
        <w:rPr>
          <w:rFonts w:ascii="Times New Roman" w:hAnsi="Times New Roman" w:eastAsia="仿宋_GB2312" w:cs="Times New Roman"/>
          <w:spacing w:val="-10"/>
          <w:sz w:val="32"/>
          <w:szCs w:val="32"/>
        </w:rPr>
        <w:t>万元，调整后项目支出预算为</w:t>
      </w:r>
      <w:r>
        <w:rPr>
          <w:rFonts w:hint="eastAsia" w:ascii="Times New Roman" w:hAnsi="Times New Roman" w:eastAsia="仿宋_GB2312" w:cs="Times New Roman"/>
          <w:spacing w:val="-10"/>
          <w:sz w:val="32"/>
          <w:szCs w:val="32"/>
        </w:rPr>
        <w:t>8.00</w:t>
      </w:r>
      <w:r>
        <w:rPr>
          <w:rFonts w:ascii="Times New Roman" w:hAnsi="Times New Roman" w:eastAsia="仿宋_GB2312" w:cs="Times New Roman"/>
          <w:spacing w:val="-10"/>
          <w:sz w:val="32"/>
          <w:szCs w:val="32"/>
        </w:rPr>
        <w:t>万元，项目实际支出为</w:t>
      </w:r>
      <w:r>
        <w:rPr>
          <w:rFonts w:hint="eastAsia" w:ascii="Times New Roman" w:hAnsi="Times New Roman" w:eastAsia="仿宋_GB2312" w:cs="Times New Roman"/>
          <w:spacing w:val="-10"/>
          <w:sz w:val="32"/>
          <w:szCs w:val="32"/>
        </w:rPr>
        <w:t>7.87</w:t>
      </w:r>
      <w:r>
        <w:rPr>
          <w:rFonts w:ascii="Times New Roman" w:hAnsi="Times New Roman" w:eastAsia="仿宋_GB2312" w:cs="Times New Roman"/>
          <w:spacing w:val="-10"/>
          <w:sz w:val="32"/>
          <w:szCs w:val="32"/>
        </w:rPr>
        <w:t>万元，预算执行率为</w:t>
      </w:r>
      <w:r>
        <w:rPr>
          <w:rFonts w:hint="eastAsia" w:ascii="Times New Roman" w:hAnsi="Times New Roman" w:eastAsia="仿宋_GB2312" w:cs="Times New Roman"/>
          <w:spacing w:val="-10"/>
          <w:sz w:val="32"/>
          <w:szCs w:val="32"/>
        </w:rPr>
        <w:t>98.38</w:t>
      </w:r>
      <w:r>
        <w:rPr>
          <w:rFonts w:ascii="Times New Roman" w:hAnsi="Times New Roman" w:eastAsia="仿宋_GB2312" w:cs="Times New Roman"/>
          <w:spacing w:val="-10"/>
          <w:sz w:val="32"/>
          <w:szCs w:val="32"/>
        </w:rPr>
        <w:t xml:space="preserve">%。项目支出预、决算情况如下表:                                       </w:t>
      </w:r>
    </w:p>
    <w:p>
      <w:pPr>
        <w:widowControl/>
        <w:spacing w:line="560" w:lineRule="exact"/>
        <w:ind w:firstLine="420" w:firstLineChars="200"/>
        <w:jc w:val="right"/>
        <w:rPr>
          <w:rFonts w:ascii="Times New Roman" w:hAnsi="Times New Roman" w:cs="Times New Roman"/>
          <w:szCs w:val="21"/>
          <w:lang w:val="zh-CN"/>
        </w:rPr>
      </w:pPr>
      <w:r>
        <w:rPr>
          <w:rFonts w:ascii="Times New Roman" w:hAnsi="Times New Roman" w:cs="Times New Roman"/>
          <w:szCs w:val="21"/>
        </w:rPr>
        <w:t>金额单位：万元</w:t>
      </w:r>
    </w:p>
    <w:tbl>
      <w:tblPr>
        <w:tblStyle w:val="7"/>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0"/>
        <w:gridCol w:w="1576"/>
        <w:gridCol w:w="945"/>
        <w:gridCol w:w="1005"/>
        <w:gridCol w:w="1150"/>
        <w:gridCol w:w="1150"/>
        <w:gridCol w:w="138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Header/>
          <w:jc w:val="center"/>
        </w:trPr>
        <w:tc>
          <w:tcPr>
            <w:tcW w:w="346" w:type="dxa"/>
            <w:vAlign w:val="center"/>
          </w:tcPr>
          <w:p>
            <w:pPr>
              <w:widowControl/>
              <w:spacing w:line="560" w:lineRule="exact"/>
              <w:jc w:val="center"/>
              <w:textAlignment w:val="center"/>
              <w:rPr>
                <w:rFonts w:ascii="Times New Roman" w:hAnsi="Times New Roman" w:cs="Times New Roman"/>
                <w:bCs/>
                <w:color w:val="000000"/>
                <w:kern w:val="0"/>
                <w:szCs w:val="21"/>
                <w:lang w:val="zh-CN"/>
              </w:rPr>
            </w:pPr>
            <w:r>
              <w:rPr>
                <w:rFonts w:hint="eastAsia" w:ascii="宋体" w:hAnsi="宋体" w:eastAsia="宋体" w:cs="宋体"/>
                <w:color w:val="000000"/>
                <w:kern w:val="0"/>
                <w:szCs w:val="21"/>
              </w:rPr>
              <w:t>序号</w:t>
            </w:r>
          </w:p>
        </w:tc>
        <w:tc>
          <w:tcPr>
            <w:tcW w:w="1556"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项目内容</w:t>
            </w:r>
          </w:p>
        </w:tc>
        <w:tc>
          <w:tcPr>
            <w:tcW w:w="933"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hint="eastAsia" w:ascii="宋体" w:hAnsi="宋体" w:eastAsia="宋体" w:cs="宋体"/>
                <w:color w:val="000000"/>
                <w:kern w:val="0"/>
                <w:szCs w:val="21"/>
              </w:rPr>
              <w:t>年初预算</w:t>
            </w:r>
          </w:p>
        </w:tc>
        <w:tc>
          <w:tcPr>
            <w:tcW w:w="992"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预算调整</w:t>
            </w:r>
          </w:p>
        </w:tc>
        <w:tc>
          <w:tcPr>
            <w:tcW w:w="1135"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hint="eastAsia" w:ascii="宋体" w:hAnsi="宋体" w:eastAsia="宋体" w:cs="宋体"/>
                <w:color w:val="000000"/>
                <w:kern w:val="0"/>
                <w:szCs w:val="21"/>
              </w:rPr>
              <w:t>调整后预算</w:t>
            </w:r>
          </w:p>
        </w:tc>
        <w:tc>
          <w:tcPr>
            <w:tcW w:w="1135"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实际支出</w:t>
            </w:r>
          </w:p>
        </w:tc>
        <w:tc>
          <w:tcPr>
            <w:tcW w:w="1363" w:type="dxa"/>
            <w:vAlign w:val="center"/>
          </w:tcPr>
          <w:p>
            <w:pPr>
              <w:widowControl/>
              <w:spacing w:line="560" w:lineRule="exact"/>
              <w:jc w:val="center"/>
              <w:textAlignment w:val="center"/>
              <w:rPr>
                <w:rFonts w:ascii="Times New Roman" w:hAnsi="Times New Roman" w:cs="Times New Roman"/>
                <w:bCs/>
                <w:color w:val="000000"/>
                <w:szCs w:val="21"/>
              </w:rPr>
            </w:pPr>
            <w:r>
              <w:rPr>
                <w:rFonts w:hint="eastAsia" w:ascii="宋体" w:hAnsi="宋体" w:eastAsia="宋体" w:cs="宋体"/>
                <w:color w:val="000000"/>
                <w:kern w:val="0"/>
                <w:szCs w:val="21"/>
              </w:rPr>
              <w:t>预算与执行差异（超支</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，结余</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w:t>
            </w:r>
          </w:p>
        </w:tc>
        <w:tc>
          <w:tcPr>
            <w:tcW w:w="1050" w:type="dxa"/>
            <w:vAlign w:val="center"/>
          </w:tcPr>
          <w:p>
            <w:pPr>
              <w:widowControl/>
              <w:spacing w:line="560" w:lineRule="exact"/>
              <w:jc w:val="center"/>
              <w:textAlignment w:val="center"/>
              <w:rPr>
                <w:rFonts w:ascii="Times New Roman" w:hAnsi="Times New Roman" w:cs="Times New Roman"/>
                <w:bCs/>
                <w:color w:val="000000"/>
                <w:kern w:val="0"/>
                <w:szCs w:val="21"/>
              </w:rPr>
            </w:pPr>
            <w:r>
              <w:rPr>
                <w:rFonts w:hint="eastAsia" w:ascii="宋体" w:hAnsi="宋体" w:eastAsia="宋体" w:cs="宋体"/>
                <w:color w:val="000000"/>
                <w:kern w:val="0"/>
                <w:szCs w:val="21"/>
              </w:rPr>
              <w:t>预算执行率（</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46" w:type="dxa"/>
            <w:vAlign w:val="center"/>
          </w:tcPr>
          <w:p>
            <w:pPr>
              <w:widowControl/>
              <w:spacing w:line="560" w:lineRule="exact"/>
              <w:jc w:val="center"/>
              <w:textAlignment w:val="center"/>
              <w:rPr>
                <w:rFonts w:ascii="Times New Roman" w:hAnsi="Times New Roman" w:cs="Times New Roman"/>
                <w:bCs/>
                <w:color w:val="000000"/>
                <w:kern w:val="0"/>
                <w:szCs w:val="21"/>
                <w:lang w:val="zh-CN"/>
              </w:rPr>
            </w:pPr>
            <w:r>
              <w:rPr>
                <w:rFonts w:ascii="Times New Roman" w:hAnsi="Times New Roman" w:eastAsia="宋体" w:cs="Times New Roman"/>
                <w:color w:val="000000"/>
                <w:kern w:val="0"/>
                <w:szCs w:val="21"/>
              </w:rPr>
              <w:t>1</w:t>
            </w:r>
          </w:p>
        </w:tc>
        <w:tc>
          <w:tcPr>
            <w:tcW w:w="1556" w:type="dxa"/>
            <w:vAlign w:val="center"/>
          </w:tcPr>
          <w:p>
            <w:pPr>
              <w:widowControl/>
              <w:spacing w:line="560" w:lineRule="exact"/>
              <w:jc w:val="left"/>
              <w:textAlignment w:val="center"/>
              <w:rPr>
                <w:rFonts w:ascii="Times New Roman" w:hAnsi="Times New Roman" w:cs="Times New Roman"/>
                <w:bCs/>
                <w:color w:val="000000"/>
                <w:kern w:val="0"/>
                <w:szCs w:val="21"/>
                <w:lang w:val="zh-CN"/>
              </w:rPr>
            </w:pPr>
            <w:r>
              <w:rPr>
                <w:rFonts w:hint="eastAsia" w:ascii="宋体" w:hAnsi="宋体" w:eastAsia="宋体" w:cs="宋体"/>
                <w:color w:val="000000"/>
                <w:kern w:val="0"/>
                <w:szCs w:val="21"/>
              </w:rPr>
              <w:t>党建及宣传经费</w:t>
            </w:r>
          </w:p>
        </w:tc>
        <w:tc>
          <w:tcPr>
            <w:tcW w:w="93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10.00 </w:t>
            </w:r>
          </w:p>
        </w:tc>
        <w:tc>
          <w:tcPr>
            <w:tcW w:w="992"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2.00 </w:t>
            </w:r>
          </w:p>
        </w:tc>
        <w:tc>
          <w:tcPr>
            <w:tcW w:w="1135"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8.00 </w:t>
            </w:r>
          </w:p>
        </w:tc>
        <w:tc>
          <w:tcPr>
            <w:tcW w:w="1135"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7.87 </w:t>
            </w:r>
          </w:p>
        </w:tc>
        <w:tc>
          <w:tcPr>
            <w:tcW w:w="136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-0.13 </w:t>
            </w:r>
          </w:p>
        </w:tc>
        <w:tc>
          <w:tcPr>
            <w:tcW w:w="1050"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7" w:hRule="atLeast"/>
          <w:jc w:val="center"/>
        </w:trPr>
        <w:tc>
          <w:tcPr>
            <w:tcW w:w="1902" w:type="dxa"/>
            <w:gridSpan w:val="2"/>
            <w:vAlign w:val="center"/>
          </w:tcPr>
          <w:p>
            <w:pPr>
              <w:widowControl/>
              <w:spacing w:line="560" w:lineRule="exact"/>
              <w:jc w:val="center"/>
              <w:textAlignment w:val="center"/>
              <w:rPr>
                <w:rFonts w:ascii="Times New Roman" w:hAnsi="Times New Roman" w:cs="Times New Roman"/>
                <w:color w:val="000000"/>
                <w:kern w:val="0"/>
                <w:szCs w:val="21"/>
              </w:rPr>
            </w:pPr>
            <w:r>
              <w:rPr>
                <w:rFonts w:hint="eastAsia" w:ascii="宋体" w:hAnsi="宋体" w:eastAsia="宋体" w:cs="宋体"/>
                <w:color w:val="000000"/>
                <w:kern w:val="0"/>
                <w:szCs w:val="21"/>
              </w:rPr>
              <w:t>项目支出小计</w:t>
            </w:r>
          </w:p>
        </w:tc>
        <w:tc>
          <w:tcPr>
            <w:tcW w:w="93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10.00 </w:t>
            </w:r>
          </w:p>
        </w:tc>
        <w:tc>
          <w:tcPr>
            <w:tcW w:w="992"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2.00 </w:t>
            </w:r>
          </w:p>
        </w:tc>
        <w:tc>
          <w:tcPr>
            <w:tcW w:w="1135"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8.00 </w:t>
            </w:r>
          </w:p>
        </w:tc>
        <w:tc>
          <w:tcPr>
            <w:tcW w:w="1135"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7.87 </w:t>
            </w:r>
          </w:p>
        </w:tc>
        <w:tc>
          <w:tcPr>
            <w:tcW w:w="1363"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 xml:space="preserve">-0.13 </w:t>
            </w:r>
          </w:p>
        </w:tc>
        <w:tc>
          <w:tcPr>
            <w:tcW w:w="1050" w:type="dxa"/>
            <w:vAlign w:val="center"/>
          </w:tcPr>
          <w:p>
            <w:pPr>
              <w:widowControl/>
              <w:spacing w:line="560" w:lineRule="exact"/>
              <w:jc w:val="right"/>
              <w:textAlignment w:val="center"/>
              <w:rPr>
                <w:rFonts w:ascii="Times New Roman" w:hAnsi="Times New Roman" w:cs="Times New Roman"/>
                <w:bCs/>
                <w:color w:val="000000"/>
                <w:kern w:val="0"/>
                <w:szCs w:val="21"/>
              </w:rPr>
            </w:pPr>
            <w:r>
              <w:rPr>
                <w:rFonts w:ascii="Times New Roman" w:hAnsi="Times New Roman" w:eastAsia="宋体" w:cs="Times New Roman"/>
                <w:color w:val="000000"/>
                <w:kern w:val="0"/>
                <w:szCs w:val="21"/>
              </w:rPr>
              <w:t>98.38%</w:t>
            </w:r>
          </w:p>
        </w:tc>
      </w:tr>
    </w:tbl>
    <w:p>
      <w:pPr>
        <w:spacing w:before="20" w:after="20"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由上表可知，党建及宣传经费共调减</w:t>
      </w:r>
      <w:r>
        <w:rPr>
          <w:rFonts w:hint="eastAsia" w:ascii="Times New Roman" w:hAnsi="Times New Roman" w:eastAsia="仿宋_GB2312" w:cs="Times New Roman"/>
          <w:spacing w:val="-10"/>
          <w:sz w:val="32"/>
          <w:szCs w:val="32"/>
        </w:rPr>
        <w:t>2</w:t>
      </w:r>
      <w:r>
        <w:rPr>
          <w:rFonts w:ascii="Times New Roman" w:hAnsi="Times New Roman" w:eastAsia="仿宋_GB2312" w:cs="Times New Roman"/>
          <w:spacing w:val="-10"/>
          <w:sz w:val="32"/>
          <w:szCs w:val="32"/>
        </w:rPr>
        <w:t>万元，原因系</w:t>
      </w:r>
      <w:r>
        <w:rPr>
          <w:rFonts w:hint="eastAsia" w:ascii="Times New Roman" w:hAnsi="Times New Roman" w:eastAsia="仿宋_GB2312" w:cs="Times New Roman"/>
          <w:spacing w:val="-10"/>
          <w:sz w:val="32"/>
          <w:szCs w:val="32"/>
        </w:rPr>
        <w:t>受疫情影响导致部分党建活动取消</w:t>
      </w:r>
      <w:r>
        <w:rPr>
          <w:rFonts w:ascii="Times New Roman" w:hAnsi="Times New Roman" w:eastAsia="仿宋_GB2312" w:cs="Times New Roman"/>
          <w:spacing w:val="-10"/>
          <w:sz w:val="32"/>
          <w:szCs w:val="32"/>
        </w:rPr>
        <w:t>。</w:t>
      </w:r>
    </w:p>
    <w:p>
      <w:pPr>
        <w:spacing w:before="20" w:after="20"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（2）项目资金管理情况</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新区土储中心为加强财务管理、规范项目资金使用，制定并出台《湖南湘江新区土地储备中心财务管理办法》，对预算管理、审批权限、资金管理等方面做出了详细规定，明确管理岗位职责，优化财务管理工作。新区土储中心部门项目资金按项目对专项资金进行单独核算。</w:t>
      </w:r>
    </w:p>
    <w:p>
      <w:pPr>
        <w:pStyle w:val="5"/>
        <w:numPr>
          <w:ilvl w:val="0"/>
          <w:numId w:val="2"/>
        </w:numPr>
        <w:spacing w:line="560" w:lineRule="exact"/>
        <w:rPr>
          <w:rFonts w:ascii="Times New Roman" w:hAnsi="Times New Roman" w:eastAsia="黑体"/>
          <w:sz w:val="32"/>
          <w:szCs w:val="32"/>
        </w:rPr>
      </w:pPr>
      <w:r>
        <w:rPr>
          <w:rFonts w:ascii="Times New Roman" w:hAnsi="Times New Roman" w:eastAsia="仿宋_GB2312"/>
          <w:spacing w:val="-10"/>
          <w:sz w:val="32"/>
          <w:szCs w:val="32"/>
        </w:rPr>
        <w:t xml:space="preserve"> </w:t>
      </w:r>
      <w:r>
        <w:rPr>
          <w:rFonts w:ascii="Times New Roman" w:hAnsi="Times New Roman" w:eastAsia="黑体"/>
          <w:sz w:val="32"/>
          <w:szCs w:val="32"/>
        </w:rPr>
        <w:t>部门绩效目标</w:t>
      </w:r>
    </w:p>
    <w:p>
      <w:pPr>
        <w:spacing w:line="560" w:lineRule="exact"/>
        <w:ind w:firstLine="643" w:firstLineChars="200"/>
        <w:rPr>
          <w:rFonts w:ascii="Times New Roman" w:hAnsi="Times New Roman" w:eastAsia="仿宋_GB2312" w:cs="Times New Roman"/>
          <w:b/>
          <w:bCs/>
          <w:spacing w:val="-10"/>
          <w:sz w:val="32"/>
          <w:szCs w:val="32"/>
        </w:rPr>
      </w:pPr>
      <w:r>
        <w:rPr>
          <w:rFonts w:ascii="Times New Roman" w:hAnsi="Times New Roman" w:eastAsia="楷体_GB2312" w:cs="Times New Roman"/>
          <w:b/>
          <w:bCs/>
          <w:sz w:val="32"/>
          <w:szCs w:val="32"/>
        </w:rPr>
        <w:t>（一）部门职能、职责</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 xml:space="preserve"> 1.负责湖南湘江新区范围内农用地转用征收、储备融资、土地开发和土地供应的前期工作；</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2.负责新区范围内土地一级市场招标、拍卖和挂牌出让的具体事务性和技术性工作；</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3.负责新区土地交易管理及土地市场信息收集、发表工作；</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4.负责新区耕地占补平衡进行土地开发整理及储备工作;</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5.负责新区棚改项目的统筹协调。</w:t>
      </w:r>
    </w:p>
    <w:p>
      <w:pPr>
        <w:spacing w:line="560" w:lineRule="exact"/>
        <w:ind w:left="58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（二）部门整体支出绩效目标</w:t>
      </w:r>
    </w:p>
    <w:p>
      <w:pPr>
        <w:pStyle w:val="6"/>
        <w:spacing w:before="20" w:after="20" w:line="560" w:lineRule="exact"/>
        <w:ind w:firstLine="600" w:firstLineChars="200"/>
        <w:jc w:val="both"/>
      </w:pPr>
      <w:r>
        <w:rPr>
          <w:rFonts w:ascii="Times New Roman" w:hAnsi="Times New Roman" w:eastAsia="仿宋_GB2312"/>
          <w:b w:val="0"/>
          <w:bCs w:val="0"/>
          <w:spacing w:val="-10"/>
        </w:rPr>
        <w:t>根据</w:t>
      </w:r>
      <w:r>
        <w:rPr>
          <w:rFonts w:hint="eastAsia" w:ascii="Times New Roman" w:hAnsi="Times New Roman" w:eastAsia="仿宋_GB2312"/>
          <w:b w:val="0"/>
          <w:bCs w:val="0"/>
          <w:spacing w:val="-10"/>
        </w:rPr>
        <w:t>新区</w:t>
      </w:r>
      <w:r>
        <w:rPr>
          <w:rFonts w:ascii="Times New Roman" w:hAnsi="Times New Roman" w:eastAsia="仿宋_GB2312"/>
          <w:b w:val="0"/>
          <w:bCs w:val="0"/>
          <w:spacing w:val="-10"/>
        </w:rPr>
        <w:t>土储中心</w:t>
      </w:r>
      <w:r>
        <w:rPr>
          <w:rFonts w:hint="eastAsia" w:ascii="Times New Roman" w:hAnsi="Times New Roman" w:eastAsia="仿宋_GB2312"/>
          <w:b w:val="0"/>
          <w:bCs w:val="0"/>
          <w:spacing w:val="-10"/>
        </w:rPr>
        <w:t>2020</w:t>
      </w:r>
      <w:r>
        <w:rPr>
          <w:rFonts w:ascii="Times New Roman" w:hAnsi="Times New Roman" w:eastAsia="仿宋_GB2312"/>
          <w:b w:val="0"/>
          <w:bCs w:val="0"/>
          <w:spacing w:val="-10"/>
        </w:rPr>
        <w:t>年重点工作计划</w:t>
      </w:r>
      <w:r>
        <w:rPr>
          <w:rFonts w:hint="eastAsia" w:ascii="Times New Roman" w:hAnsi="Times New Roman" w:eastAsia="仿宋_GB2312"/>
          <w:b w:val="0"/>
          <w:bCs w:val="0"/>
          <w:spacing w:val="-10"/>
        </w:rPr>
        <w:t>，绩效目标如下：</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1.</w:t>
      </w:r>
      <w:r>
        <w:rPr>
          <w:rFonts w:hint="eastAsia" w:ascii="Times New Roman" w:hAnsi="Times New Roman" w:eastAsia="仿宋_GB2312"/>
          <w:b w:val="0"/>
          <w:bCs w:val="0"/>
          <w:spacing w:val="-10"/>
        </w:rPr>
        <w:t>完成征地1,180</w:t>
      </w:r>
      <w:r>
        <w:rPr>
          <w:rFonts w:ascii="Times New Roman" w:hAnsi="Times New Roman" w:eastAsia="仿宋_GB2312"/>
          <w:b w:val="0"/>
          <w:bCs w:val="0"/>
          <w:spacing w:val="-10"/>
        </w:rPr>
        <w:t>亩；完成出</w:t>
      </w:r>
      <w:r>
        <w:rPr>
          <w:rFonts w:hint="eastAsia" w:ascii="Times New Roman" w:hAnsi="Times New Roman" w:eastAsia="仿宋_GB2312"/>
          <w:b w:val="0"/>
          <w:bCs w:val="0"/>
          <w:spacing w:val="-10"/>
        </w:rPr>
        <w:t>3宗土地收储</w:t>
      </w:r>
      <w:r>
        <w:rPr>
          <w:rFonts w:ascii="Times New Roman" w:hAnsi="Times New Roman" w:eastAsia="仿宋_GB2312"/>
          <w:b w:val="0"/>
          <w:bCs w:val="0"/>
          <w:spacing w:val="-10"/>
        </w:rPr>
        <w:t>；确保落实耕地指标</w:t>
      </w:r>
      <w:r>
        <w:rPr>
          <w:rFonts w:hint="eastAsia" w:ascii="Times New Roman" w:hAnsi="Times New Roman" w:eastAsia="仿宋_GB2312"/>
          <w:b w:val="0"/>
          <w:bCs w:val="0"/>
          <w:spacing w:val="-10"/>
        </w:rPr>
        <w:t>500</w:t>
      </w:r>
      <w:r>
        <w:rPr>
          <w:rFonts w:ascii="Times New Roman" w:hAnsi="Times New Roman" w:eastAsia="仿宋_GB2312"/>
          <w:b w:val="0"/>
          <w:bCs w:val="0"/>
          <w:spacing w:val="-10"/>
        </w:rPr>
        <w:t>亩；</w:t>
      </w:r>
      <w:r>
        <w:rPr>
          <w:rFonts w:hint="eastAsia" w:ascii="Times New Roman" w:hAnsi="Times New Roman" w:eastAsia="仿宋_GB2312"/>
          <w:b w:val="0"/>
          <w:bCs w:val="0"/>
          <w:spacing w:val="-10"/>
        </w:rPr>
        <w:t>完成土地城郊129.83亿元；</w:t>
      </w:r>
    </w:p>
    <w:p>
      <w:pPr>
        <w:pStyle w:val="6"/>
        <w:spacing w:before="20" w:after="20" w:line="560" w:lineRule="exact"/>
        <w:ind w:firstLine="600" w:firstLineChars="200"/>
        <w:jc w:val="both"/>
        <w:rPr>
          <w:rFonts w:ascii="Times New Roman" w:hAnsi="Times New Roman" w:eastAsia="仿宋_GB2312"/>
          <w:b w:val="0"/>
          <w:bCs w:val="0"/>
          <w:spacing w:val="-10"/>
        </w:rPr>
      </w:pPr>
      <w:r>
        <w:rPr>
          <w:rFonts w:hint="eastAsia" w:ascii="Times New Roman" w:hAnsi="Times New Roman" w:eastAsia="仿宋_GB2312"/>
          <w:b w:val="0"/>
          <w:bCs w:val="0"/>
          <w:spacing w:val="-10"/>
        </w:rPr>
        <w:t>2.完成4宗自储地供地，完成4.495亿元政府债务化解贷款归还，配合2020年土储专债项目包装并按批复额度完成申报工作。</w:t>
      </w:r>
    </w:p>
    <w:p>
      <w:pPr>
        <w:spacing w:line="56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3.</w:t>
      </w:r>
      <w:r>
        <w:rPr>
          <w:rFonts w:ascii="Times New Roman" w:hAnsi="Times New Roman" w:eastAsia="仿宋_GB2312" w:cs="Times New Roman"/>
          <w:spacing w:val="-10"/>
          <w:sz w:val="32"/>
          <w:szCs w:val="32"/>
        </w:rPr>
        <w:t>完成书记党课1次，支委会12次，党员大会4次，进行12次以上主题党日活动，开展1次党风廉政警示教育；党建廉政宣传报道不少于4次；扶贫慰问4次；结对共建不少于2次。</w:t>
      </w:r>
    </w:p>
    <w:p>
      <w:pPr>
        <w:pStyle w:val="5"/>
        <w:spacing w:line="560" w:lineRule="exact"/>
        <w:ind w:firstLine="600" w:firstLineChars="200"/>
        <w:rPr>
          <w:rFonts w:ascii="Times New Roman" w:hAnsi="Times New Roman" w:eastAsia="黑体"/>
          <w:spacing w:val="-10"/>
          <w:sz w:val="32"/>
          <w:szCs w:val="32"/>
        </w:rPr>
      </w:pPr>
      <w:r>
        <w:rPr>
          <w:rFonts w:ascii="Times New Roman" w:hAnsi="Times New Roman" w:eastAsia="黑体"/>
          <w:spacing w:val="-10"/>
          <w:sz w:val="32"/>
          <w:szCs w:val="32"/>
        </w:rPr>
        <w:t xml:space="preserve">三、部门产出成果及效益情况分析  </w:t>
      </w:r>
    </w:p>
    <w:p>
      <w:pPr>
        <w:pStyle w:val="6"/>
        <w:spacing w:before="20" w:after="20" w:line="560" w:lineRule="exact"/>
        <w:ind w:firstLine="643" w:firstLineChars="200"/>
        <w:jc w:val="both"/>
        <w:rPr>
          <w:rFonts w:ascii="Times New Roman" w:hAnsi="Times New Roman" w:eastAsia="黑体"/>
          <w:spacing w:val="-10"/>
        </w:rPr>
      </w:pPr>
      <w:r>
        <w:rPr>
          <w:rFonts w:ascii="Times New Roman" w:hAnsi="Times New Roman" w:eastAsia="楷体_GB2312"/>
        </w:rPr>
        <w:t>（一）</w:t>
      </w:r>
      <w:r>
        <w:rPr>
          <w:rFonts w:ascii="Times New Roman" w:hAnsi="Times New Roman" w:eastAsia="楷体_GB2312"/>
          <w:spacing w:val="-10"/>
        </w:rPr>
        <w:t>评价结论</w:t>
      </w:r>
    </w:p>
    <w:p>
      <w:pPr>
        <w:pStyle w:val="6"/>
        <w:spacing w:before="20" w:after="20" w:line="560" w:lineRule="exact"/>
        <w:ind w:firstLine="600" w:firstLineChars="200"/>
        <w:jc w:val="both"/>
        <w:rPr>
          <w:rFonts w:ascii="Times New Roman" w:hAnsi="Times New Roman" w:eastAsia="仿宋_GB2312"/>
          <w:b w:val="0"/>
          <w:bCs w:val="0"/>
          <w:spacing w:val="-10"/>
        </w:rPr>
      </w:pPr>
      <w:r>
        <w:rPr>
          <w:rFonts w:ascii="Times New Roman" w:hAnsi="Times New Roman" w:eastAsia="仿宋_GB2312"/>
          <w:b w:val="0"/>
          <w:bCs w:val="0"/>
          <w:spacing w:val="-10"/>
        </w:rPr>
        <w:t>新区土储中心认真履行部门职责，按照年初设定的目标，扎实推进各项工作，较好地完成了</w:t>
      </w:r>
      <w:r>
        <w:rPr>
          <w:rFonts w:hint="eastAsia" w:ascii="Times New Roman" w:hAnsi="Times New Roman" w:eastAsia="仿宋_GB2312"/>
          <w:b w:val="0"/>
          <w:bCs w:val="0"/>
          <w:spacing w:val="-10"/>
        </w:rPr>
        <w:t>2020</w:t>
      </w:r>
      <w:r>
        <w:rPr>
          <w:rFonts w:ascii="Times New Roman" w:hAnsi="Times New Roman" w:eastAsia="仿宋_GB2312"/>
          <w:b w:val="0"/>
          <w:bCs w:val="0"/>
          <w:spacing w:val="-10"/>
        </w:rPr>
        <w:t>年度各项工作目标。但仍存在绩效目标申报待完善等问题。评价小组从目标设定、预算配置、预算执行、资产管理、职责履行等方面对新区土储中心的部门整体支出情况进行了综合评价，评价等级为“优”。</w:t>
      </w:r>
    </w:p>
    <w:p>
      <w:pPr>
        <w:pStyle w:val="5"/>
        <w:numPr>
          <w:ilvl w:val="0"/>
          <w:numId w:val="3"/>
        </w:numPr>
        <w:spacing w:line="560" w:lineRule="exact"/>
        <w:ind w:firstLine="603" w:firstLineChars="200"/>
        <w:rPr>
          <w:rFonts w:ascii="Times New Roman" w:hAnsi="Times New Roman" w:eastAsia="楷体_GB2312"/>
          <w:b/>
          <w:bCs/>
          <w:spacing w:val="-10"/>
          <w:sz w:val="32"/>
          <w:szCs w:val="32"/>
        </w:rPr>
      </w:pPr>
      <w:r>
        <w:rPr>
          <w:rFonts w:ascii="Times New Roman" w:hAnsi="Times New Roman" w:eastAsia="楷体_GB2312"/>
          <w:b/>
          <w:bCs/>
          <w:spacing w:val="-10"/>
          <w:sz w:val="32"/>
          <w:szCs w:val="32"/>
        </w:rPr>
        <w:t>绩效分析</w:t>
      </w:r>
    </w:p>
    <w:p>
      <w:pPr>
        <w:numPr>
          <w:ilvl w:val="255"/>
          <w:numId w:val="0"/>
        </w:numPr>
        <w:spacing w:line="560" w:lineRule="exact"/>
        <w:ind w:firstLine="603" w:firstLineChars="200"/>
        <w:outlineLvl w:val="0"/>
        <w:rPr>
          <w:rFonts w:ascii="Times New Roman" w:hAnsi="Times New Roman" w:eastAsia="仿宋_GB2312" w:cs="Times New Roman"/>
          <w:b/>
          <w:bCs/>
          <w:spacing w:val="-10"/>
          <w:sz w:val="32"/>
          <w:szCs w:val="32"/>
        </w:rPr>
      </w:pPr>
      <w:r>
        <w:rPr>
          <w:rFonts w:ascii="Times New Roman" w:hAnsi="Times New Roman" w:eastAsia="仿宋_GB2312" w:cs="Times New Roman"/>
          <w:b/>
          <w:bCs/>
          <w:spacing w:val="-10"/>
          <w:sz w:val="32"/>
          <w:szCs w:val="32"/>
        </w:rPr>
        <w:t>1.</w:t>
      </w:r>
      <w:r>
        <w:rPr>
          <w:rFonts w:hint="eastAsia" w:ascii="Times New Roman" w:hAnsi="Times New Roman" w:eastAsia="仿宋_GB2312" w:cs="Times New Roman"/>
          <w:b/>
          <w:bCs/>
          <w:spacing w:val="-10"/>
          <w:sz w:val="32"/>
          <w:szCs w:val="32"/>
        </w:rPr>
        <w:t>多项业务工作超额完成，保障</w:t>
      </w:r>
      <w:r>
        <w:rPr>
          <w:rFonts w:ascii="Times New Roman" w:hAnsi="Times New Roman" w:eastAsia="仿宋_GB2312" w:cs="Times New Roman"/>
          <w:b/>
          <w:bCs/>
          <w:spacing w:val="-10"/>
          <w:sz w:val="32"/>
          <w:szCs w:val="32"/>
        </w:rPr>
        <w:t>新区高质量发展</w:t>
      </w:r>
    </w:p>
    <w:p>
      <w:pPr>
        <w:numPr>
          <w:ilvl w:val="255"/>
          <w:numId w:val="0"/>
        </w:numPr>
        <w:spacing w:line="560" w:lineRule="exact"/>
        <w:ind w:firstLine="600" w:firstLineChars="200"/>
        <w:outlineLvl w:val="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一是完成新区直接投资项目征地1,912亩，为年度任务1,180亩的162. 03%</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二是落实耕地指标533亩</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其中水田指标(含旱改水指标) 315亩，为年度任务500亩的106.6%</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三是完成了3宗地收储的年度任务</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四是完成土地出让成交200.94亿元，为年度任务129.83万元的154. 77%</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五是完成了5宗自储土地的供地，为年度任务4宗的125%</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六是按期完成了4.495亿元政府债务化解贷款归还</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七是完成了60多亿元的土储专项债项目包装入库，因国家政策变化无批复额度、项目申报。</w:t>
      </w:r>
    </w:p>
    <w:p>
      <w:pPr>
        <w:numPr>
          <w:ilvl w:val="255"/>
          <w:numId w:val="0"/>
        </w:numPr>
        <w:spacing w:line="560" w:lineRule="exact"/>
        <w:ind w:firstLine="603" w:firstLineChars="200"/>
        <w:outlineLvl w:val="0"/>
        <w:rPr>
          <w:rFonts w:ascii="Times New Roman" w:hAnsi="Times New Roman" w:eastAsia="仿宋_GB2312" w:cs="Times New Roman"/>
          <w:b/>
          <w:bCs/>
          <w:spacing w:val="-10"/>
          <w:sz w:val="32"/>
          <w:szCs w:val="32"/>
        </w:rPr>
      </w:pPr>
      <w:r>
        <w:rPr>
          <w:rFonts w:ascii="Times New Roman" w:hAnsi="Times New Roman" w:eastAsia="仿宋_GB2312" w:cs="Times New Roman"/>
          <w:b/>
          <w:bCs/>
          <w:spacing w:val="-10"/>
          <w:sz w:val="32"/>
          <w:szCs w:val="32"/>
        </w:rPr>
        <w:t>2.党建工作</w:t>
      </w:r>
      <w:r>
        <w:rPr>
          <w:rFonts w:hint="eastAsia" w:ascii="Times New Roman" w:hAnsi="Times New Roman" w:eastAsia="仿宋_GB2312" w:cs="Times New Roman"/>
          <w:b/>
          <w:bCs/>
          <w:spacing w:val="-10"/>
          <w:sz w:val="32"/>
          <w:szCs w:val="32"/>
        </w:rPr>
        <w:t>出色</w:t>
      </w:r>
      <w:r>
        <w:rPr>
          <w:rFonts w:ascii="Times New Roman" w:hAnsi="Times New Roman" w:eastAsia="仿宋_GB2312" w:cs="Times New Roman"/>
          <w:b/>
          <w:bCs/>
          <w:spacing w:val="-10"/>
          <w:sz w:val="32"/>
          <w:szCs w:val="32"/>
        </w:rPr>
        <w:t>完成</w:t>
      </w:r>
      <w:r>
        <w:rPr>
          <w:rFonts w:hint="eastAsia" w:ascii="Times New Roman" w:hAnsi="Times New Roman" w:eastAsia="仿宋_GB2312" w:cs="Times New Roman"/>
          <w:b/>
          <w:bCs/>
          <w:spacing w:val="-10"/>
          <w:sz w:val="32"/>
          <w:szCs w:val="32"/>
        </w:rPr>
        <w:t>，</w:t>
      </w:r>
      <w:r>
        <w:rPr>
          <w:rFonts w:ascii="Times New Roman" w:hAnsi="Times New Roman" w:eastAsia="仿宋_GB2312" w:cs="Times New Roman"/>
          <w:b/>
          <w:bCs/>
          <w:spacing w:val="-10"/>
          <w:sz w:val="32"/>
          <w:szCs w:val="32"/>
        </w:rPr>
        <w:t>年度考核名列前茅</w:t>
      </w:r>
    </w:p>
    <w:p>
      <w:pPr>
        <w:numPr>
          <w:ilvl w:val="255"/>
          <w:numId w:val="0"/>
        </w:numPr>
        <w:spacing w:line="560" w:lineRule="exact"/>
        <w:ind w:firstLine="600" w:firstLineChars="200"/>
        <w:outlineLvl w:val="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党支部全年共召开支委会12次，党员大会6次，两个党小组召开党小组会24次。全年共组织党课5次，各类主题党日活动12次。组织全体党员干部赴“半条被子”故事发生地汝城县沙洲村开展了爱国主义教育和党性教育;邀请长沙县天华村刘少奇调查纪念馆馆长杨义老师为党员干部讲授了革命历史专题党课;全年组织了4次党性教育观影活动，请市委党校教授做《牢牢把握意识形态的主动权》专题讲座。全年共组织三次结对共建活动，主动对接湘西龙山县里耶镇、宁乡县沩水源村助力精准脱贫工作。</w:t>
      </w:r>
    </w:p>
    <w:p>
      <w:pPr>
        <w:adjustRightInd w:val="0"/>
        <w:snapToGrid w:val="0"/>
        <w:spacing w:line="560" w:lineRule="exact"/>
        <w:ind w:firstLine="600" w:firstLineChars="200"/>
        <w:rPr>
          <w:rFonts w:ascii="Times New Roman" w:hAnsi="Times New Roman" w:cs="Times New Roman"/>
          <w:sz w:val="32"/>
          <w:szCs w:val="32"/>
        </w:rPr>
      </w:pPr>
      <w:r>
        <w:rPr>
          <w:rFonts w:ascii="Times New Roman" w:hAnsi="Times New Roman" w:eastAsia="黑体" w:cs="Times New Roman"/>
          <w:spacing w:val="-10"/>
          <w:sz w:val="32"/>
          <w:szCs w:val="32"/>
        </w:rPr>
        <w:t>四、</w:t>
      </w:r>
      <w:r>
        <w:rPr>
          <w:rFonts w:ascii="Times New Roman" w:hAnsi="Times New Roman" w:eastAsia="黑体" w:cs="Times New Roman"/>
          <w:bCs/>
          <w:sz w:val="32"/>
          <w:szCs w:val="32"/>
        </w:rPr>
        <w:t>存在的主要问题</w:t>
      </w:r>
    </w:p>
    <w:p>
      <w:pPr>
        <w:pStyle w:val="5"/>
        <w:numPr>
          <w:ilvl w:val="255"/>
          <w:numId w:val="0"/>
        </w:numPr>
        <w:adjustRightInd w:val="0"/>
        <w:snapToGrid w:val="0"/>
        <w:spacing w:line="560" w:lineRule="exact"/>
        <w:ind w:firstLine="603" w:firstLineChars="200"/>
        <w:rPr>
          <w:rFonts w:ascii="Times New Roman" w:hAnsi="Times New Roman" w:eastAsia="仿宋_GB2312"/>
          <w:bCs/>
          <w:spacing w:val="-10"/>
          <w:sz w:val="32"/>
          <w:szCs w:val="32"/>
        </w:rPr>
      </w:pPr>
      <w:r>
        <w:rPr>
          <w:rFonts w:hint="eastAsia" w:ascii="Times New Roman" w:hAnsi="Times New Roman" w:eastAsia="楷体_GB2312"/>
          <w:b/>
          <w:bCs/>
          <w:spacing w:val="-10"/>
          <w:sz w:val="32"/>
          <w:szCs w:val="32"/>
        </w:rPr>
        <w:t>预算执行</w:t>
      </w:r>
      <w:r>
        <w:rPr>
          <w:rFonts w:ascii="Times New Roman" w:hAnsi="Times New Roman" w:eastAsia="楷体_GB2312"/>
          <w:b/>
          <w:bCs/>
          <w:spacing w:val="-10"/>
          <w:sz w:val="32"/>
          <w:szCs w:val="32"/>
        </w:rPr>
        <w:t>序时进度</w:t>
      </w:r>
      <w:r>
        <w:rPr>
          <w:rFonts w:hint="eastAsia" w:ascii="Times New Roman" w:hAnsi="Times New Roman" w:eastAsia="楷体_GB2312"/>
          <w:b/>
          <w:bCs/>
          <w:spacing w:val="-10"/>
          <w:sz w:val="32"/>
          <w:szCs w:val="32"/>
        </w:rPr>
        <w:t>较慢</w:t>
      </w:r>
      <w:r>
        <w:rPr>
          <w:rFonts w:ascii="Times New Roman" w:hAnsi="Times New Roman" w:eastAsia="楷体_GB2312"/>
          <w:b/>
          <w:bCs/>
          <w:spacing w:val="-10"/>
          <w:sz w:val="32"/>
          <w:szCs w:val="32"/>
        </w:rPr>
        <w:t>：</w:t>
      </w:r>
      <w:r>
        <w:rPr>
          <w:rFonts w:ascii="Times New Roman" w:hAnsi="Times New Roman" w:eastAsia="仿宋_GB2312"/>
          <w:bCs/>
          <w:spacing w:val="-10"/>
          <w:sz w:val="32"/>
          <w:szCs w:val="32"/>
        </w:rPr>
        <w:t>新区土储中心项目</w:t>
      </w:r>
      <w:r>
        <w:rPr>
          <w:rFonts w:hint="eastAsia" w:ascii="Times New Roman" w:hAnsi="Times New Roman" w:eastAsia="仿宋_GB2312"/>
          <w:bCs/>
          <w:spacing w:val="-10"/>
          <w:sz w:val="32"/>
          <w:szCs w:val="32"/>
        </w:rPr>
        <w:t>支出第二季度和第三季度的支付序时进度分别为42.30%和68.17%，与财政绩效评价指标设定的50%和80%存在差距</w:t>
      </w:r>
      <w:r>
        <w:rPr>
          <w:rFonts w:ascii="Times New Roman" w:hAnsi="Times New Roman" w:eastAsia="仿宋_GB2312"/>
          <w:bCs/>
          <w:spacing w:val="-10"/>
          <w:sz w:val="32"/>
          <w:szCs w:val="32"/>
        </w:rPr>
        <w:t>。</w:t>
      </w:r>
    </w:p>
    <w:p>
      <w:pPr>
        <w:adjustRightInd w:val="0"/>
        <w:snapToGrid w:val="0"/>
        <w:spacing w:line="560" w:lineRule="exact"/>
        <w:ind w:firstLine="600" w:firstLineChars="200"/>
        <w:rPr>
          <w:rFonts w:ascii="Times New Roman" w:hAnsi="Times New Roman" w:eastAsia="黑体" w:cs="Times New Roman"/>
          <w:spacing w:val="-10"/>
          <w:sz w:val="32"/>
          <w:szCs w:val="32"/>
        </w:rPr>
      </w:pPr>
      <w:r>
        <w:rPr>
          <w:rFonts w:ascii="Times New Roman" w:hAnsi="Times New Roman" w:eastAsia="黑体" w:cs="Times New Roman"/>
          <w:spacing w:val="-10"/>
          <w:sz w:val="32"/>
          <w:szCs w:val="32"/>
        </w:rPr>
        <w:t>五、相关建议</w:t>
      </w:r>
    </w:p>
    <w:p>
      <w:pPr>
        <w:numPr>
          <w:ilvl w:val="255"/>
          <w:numId w:val="0"/>
        </w:numPr>
        <w:adjustRightInd w:val="0"/>
        <w:snapToGrid w:val="0"/>
        <w:spacing w:line="560" w:lineRule="exact"/>
        <w:ind w:firstLine="603" w:firstLineChars="200"/>
        <w:rPr>
          <w:rFonts w:ascii="Times New Roman" w:hAnsi="Times New Roman" w:eastAsia="黑体"/>
          <w:spacing w:val="-10"/>
          <w:sz w:val="32"/>
          <w:szCs w:val="32"/>
        </w:rPr>
      </w:pPr>
      <w:r>
        <w:rPr>
          <w:rFonts w:ascii="Times New Roman" w:hAnsi="Times New Roman" w:eastAsia="楷体_GB2312" w:cs="Times New Roman"/>
          <w:b/>
          <w:bCs/>
          <w:spacing w:val="-10"/>
          <w:sz w:val="32"/>
          <w:szCs w:val="32"/>
        </w:rPr>
        <w:t>合理</w:t>
      </w:r>
      <w:r>
        <w:rPr>
          <w:rFonts w:hint="eastAsia" w:ascii="Times New Roman" w:hAnsi="Times New Roman" w:eastAsia="楷体_GB2312" w:cs="Times New Roman"/>
          <w:b/>
          <w:bCs/>
          <w:spacing w:val="-10"/>
          <w:sz w:val="32"/>
          <w:szCs w:val="32"/>
        </w:rPr>
        <w:t>安排预算支出</w:t>
      </w:r>
      <w:r>
        <w:rPr>
          <w:rFonts w:ascii="Times New Roman" w:hAnsi="Times New Roman" w:eastAsia="楷体_GB2312" w:cs="Times New Roman"/>
          <w:b/>
          <w:bCs/>
          <w:spacing w:val="-10"/>
          <w:sz w:val="32"/>
          <w:szCs w:val="32"/>
        </w:rPr>
        <w:t>：</w:t>
      </w:r>
      <w:r>
        <w:rPr>
          <w:rFonts w:ascii="Times New Roman" w:hAnsi="Times New Roman" w:eastAsia="仿宋_GB2312" w:cs="Times New Roman"/>
          <w:bCs/>
          <w:spacing w:val="-10"/>
          <w:sz w:val="32"/>
          <w:szCs w:val="32"/>
        </w:rPr>
        <w:t>新区土储中心应重视预算编制，根据实际情况编制内容详尽和可执行性强的预算,及时找出编制与执行结果的差距、漏洞，进而认真分析原因，改进预算编制方法，逐步缩小偏差，为下一次科学、准确地编制项目预算提供可鉴之处，进而提高预算编制的准确性、完整性。及时总结各预算项目的资金使用情况及预算执行情况，提高预算执行率，避免资金闲置，提高财政资金使用效益。</w:t>
      </w:r>
    </w:p>
    <w:p>
      <w:pPr>
        <w:spacing w:line="560" w:lineRule="exact"/>
        <w:ind w:firstLine="640" w:firstLineChars="200"/>
        <w:jc w:val="left"/>
        <w:rPr>
          <w:rFonts w:ascii="Times New Roman" w:hAnsi="Times New Roman" w:cs="Times New Roman"/>
          <w:kern w:val="0"/>
          <w:sz w:val="32"/>
          <w:szCs w:val="32"/>
        </w:rPr>
      </w:pPr>
    </w:p>
    <w:p>
      <w:pPr>
        <w:spacing w:line="560" w:lineRule="exact"/>
        <w:ind w:firstLine="640" w:firstLineChars="200"/>
        <w:jc w:val="left"/>
        <w:rPr>
          <w:rFonts w:ascii="Times New Roman" w:hAnsi="Times New Roman" w:eastAsia="仿宋_GB2312" w:cs="Times New Roman"/>
          <w:sz w:val="32"/>
          <w:szCs w:val="32"/>
        </w:rPr>
      </w:pPr>
    </w:p>
    <w:p>
      <w:pPr>
        <w:spacing w:before="20" w:after="20" w:line="560" w:lineRule="exact"/>
        <w:ind w:firstLine="600" w:firstLineChars="200"/>
        <w:rPr>
          <w:rFonts w:ascii="Times New Roman" w:hAnsi="Times New Roman" w:eastAsia="仿宋_GB2312"/>
          <w:spacing w:val="-10"/>
          <w:sz w:val="32"/>
          <w:szCs w:val="32"/>
        </w:rPr>
      </w:pPr>
    </w:p>
    <w:sectPr>
      <w:footerReference r:id="rId7" w:type="first"/>
      <w:headerReference r:id="rId4" w:type="default"/>
      <w:footerReference r:id="rId5" w:type="default"/>
      <w:footerReference r:id="rId6" w:type="even"/>
      <w:pgSz w:w="11906" w:h="16838"/>
      <w:pgMar w:top="1701" w:right="1588" w:bottom="1701" w:left="1587" w:header="851" w:footer="1417"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3"/>
                  <w:jc w:val="right"/>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38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 PAGE </w:instrText>
    </w:r>
    <w:r>
      <w:rPr>
        <w:rFonts w:ascii="宋体" w:hAnsi="宋体"/>
        <w:sz w:val="28"/>
        <w:szCs w:val="28"/>
      </w:rPr>
      <w:fldChar w:fldCharType="separate"/>
    </w:r>
    <w:r>
      <w:rPr>
        <w:rStyle w:val="10"/>
        <w:rFonts w:ascii="宋体" w:hAnsi="宋体"/>
        <w:sz w:val="28"/>
        <w:szCs w:val="28"/>
      </w:rPr>
      <w:t>- 4 -</w:t>
    </w:r>
    <w:r>
      <w:rPr>
        <w:rFonts w:ascii="宋体" w:hAnsi="宋体"/>
        <w:sz w:val="28"/>
        <w:szCs w:val="28"/>
      </w:rPr>
      <w:fldChar w:fldCharType="end"/>
    </w:r>
  </w:p>
  <w:p>
    <w:pP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23</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18D4E"/>
    <w:multiLevelType w:val="singleLevel"/>
    <w:tmpl w:val="C9B18D4E"/>
    <w:lvl w:ilvl="0" w:tentative="0">
      <w:start w:val="2"/>
      <w:numFmt w:val="chineseCounting"/>
      <w:suff w:val="nothing"/>
      <w:lvlText w:val="（%1）"/>
      <w:lvlJc w:val="left"/>
      <w:rPr>
        <w:rFonts w:hint="eastAsia"/>
      </w:rPr>
    </w:lvl>
  </w:abstractNum>
  <w:abstractNum w:abstractNumId="1">
    <w:nsid w:val="F026E526"/>
    <w:multiLevelType w:val="singleLevel"/>
    <w:tmpl w:val="F026E526"/>
    <w:lvl w:ilvl="0" w:tentative="0">
      <w:start w:val="3"/>
      <w:numFmt w:val="chineseCounting"/>
      <w:suff w:val="nothing"/>
      <w:lvlText w:val="（%1）"/>
      <w:lvlJc w:val="left"/>
      <w:pPr>
        <w:ind w:left="700" w:firstLine="0"/>
      </w:pPr>
      <w:rPr>
        <w:rFonts w:hint="eastAsia"/>
      </w:rPr>
    </w:lvl>
  </w:abstractNum>
  <w:abstractNum w:abstractNumId="2">
    <w:nsid w:val="7A2445DE"/>
    <w:multiLevelType w:val="singleLevel"/>
    <w:tmpl w:val="7A2445DE"/>
    <w:lvl w:ilvl="0" w:tentative="0">
      <w:start w:val="2"/>
      <w:numFmt w:val="chineseCounting"/>
      <w:suff w:val="nothing"/>
      <w:lvlText w:val="%1、"/>
      <w:lvlJc w:val="left"/>
      <w:pPr>
        <w:ind w:left="58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AwMGUyYmIwZWNiOWFkMDQ3NzkyOWU1ZGE1N2Y3NzEifQ=="/>
  </w:docVars>
  <w:rsids>
    <w:rsidRoot w:val="00863780"/>
    <w:rsid w:val="0000030C"/>
    <w:rsid w:val="0000597C"/>
    <w:rsid w:val="00015068"/>
    <w:rsid w:val="00017578"/>
    <w:rsid w:val="00030FD6"/>
    <w:rsid w:val="00031986"/>
    <w:rsid w:val="00035396"/>
    <w:rsid w:val="00045E48"/>
    <w:rsid w:val="00050E37"/>
    <w:rsid w:val="00053157"/>
    <w:rsid w:val="00057281"/>
    <w:rsid w:val="00080C3D"/>
    <w:rsid w:val="000821B1"/>
    <w:rsid w:val="0009169B"/>
    <w:rsid w:val="000E1835"/>
    <w:rsid w:val="000E23E1"/>
    <w:rsid w:val="000F1516"/>
    <w:rsid w:val="00104D85"/>
    <w:rsid w:val="00116FBA"/>
    <w:rsid w:val="0012712A"/>
    <w:rsid w:val="00136B0A"/>
    <w:rsid w:val="00141B37"/>
    <w:rsid w:val="0015325B"/>
    <w:rsid w:val="001542E0"/>
    <w:rsid w:val="00162B7B"/>
    <w:rsid w:val="00163708"/>
    <w:rsid w:val="001750EA"/>
    <w:rsid w:val="001765D6"/>
    <w:rsid w:val="00176839"/>
    <w:rsid w:val="00180C50"/>
    <w:rsid w:val="00197AE2"/>
    <w:rsid w:val="001A2755"/>
    <w:rsid w:val="001A67DB"/>
    <w:rsid w:val="001A7EA5"/>
    <w:rsid w:val="001E6D3E"/>
    <w:rsid w:val="002025B9"/>
    <w:rsid w:val="0021414A"/>
    <w:rsid w:val="00245A8D"/>
    <w:rsid w:val="002642EE"/>
    <w:rsid w:val="002718AF"/>
    <w:rsid w:val="00283A2C"/>
    <w:rsid w:val="00286471"/>
    <w:rsid w:val="002A1874"/>
    <w:rsid w:val="002A2744"/>
    <w:rsid w:val="002F589E"/>
    <w:rsid w:val="003042B9"/>
    <w:rsid w:val="003109E6"/>
    <w:rsid w:val="00314CA3"/>
    <w:rsid w:val="003213F0"/>
    <w:rsid w:val="003470F4"/>
    <w:rsid w:val="0034784F"/>
    <w:rsid w:val="0035063B"/>
    <w:rsid w:val="003516AB"/>
    <w:rsid w:val="00356FE1"/>
    <w:rsid w:val="003765AB"/>
    <w:rsid w:val="00384612"/>
    <w:rsid w:val="003A6AF3"/>
    <w:rsid w:val="003B36B3"/>
    <w:rsid w:val="003C3902"/>
    <w:rsid w:val="003D51E5"/>
    <w:rsid w:val="00417BED"/>
    <w:rsid w:val="00420F4F"/>
    <w:rsid w:val="004461B4"/>
    <w:rsid w:val="00474ED3"/>
    <w:rsid w:val="0048267D"/>
    <w:rsid w:val="004950E5"/>
    <w:rsid w:val="00497920"/>
    <w:rsid w:val="004B456A"/>
    <w:rsid w:val="004C112A"/>
    <w:rsid w:val="004C26B9"/>
    <w:rsid w:val="004D0F3C"/>
    <w:rsid w:val="004E28E2"/>
    <w:rsid w:val="004E69AD"/>
    <w:rsid w:val="0050001E"/>
    <w:rsid w:val="005029BD"/>
    <w:rsid w:val="0051666F"/>
    <w:rsid w:val="00525A09"/>
    <w:rsid w:val="00532A55"/>
    <w:rsid w:val="005340F8"/>
    <w:rsid w:val="00540666"/>
    <w:rsid w:val="005557CB"/>
    <w:rsid w:val="00574564"/>
    <w:rsid w:val="00575AF6"/>
    <w:rsid w:val="00584C8F"/>
    <w:rsid w:val="00595699"/>
    <w:rsid w:val="0059773C"/>
    <w:rsid w:val="005A5376"/>
    <w:rsid w:val="005B16E1"/>
    <w:rsid w:val="005B69FE"/>
    <w:rsid w:val="005C4603"/>
    <w:rsid w:val="005E76CE"/>
    <w:rsid w:val="005F4896"/>
    <w:rsid w:val="00602F57"/>
    <w:rsid w:val="006058C2"/>
    <w:rsid w:val="00612728"/>
    <w:rsid w:val="006368A6"/>
    <w:rsid w:val="00650843"/>
    <w:rsid w:val="00656BF2"/>
    <w:rsid w:val="006745B4"/>
    <w:rsid w:val="00675E80"/>
    <w:rsid w:val="006760ED"/>
    <w:rsid w:val="006764BA"/>
    <w:rsid w:val="00676CE9"/>
    <w:rsid w:val="00686878"/>
    <w:rsid w:val="006970D7"/>
    <w:rsid w:val="006A17B1"/>
    <w:rsid w:val="006C7E2B"/>
    <w:rsid w:val="006D24C0"/>
    <w:rsid w:val="006E467A"/>
    <w:rsid w:val="006E4BF1"/>
    <w:rsid w:val="006F6B88"/>
    <w:rsid w:val="00702683"/>
    <w:rsid w:val="00702E34"/>
    <w:rsid w:val="0071617F"/>
    <w:rsid w:val="00723A57"/>
    <w:rsid w:val="00724510"/>
    <w:rsid w:val="00743FAD"/>
    <w:rsid w:val="00760301"/>
    <w:rsid w:val="007643B7"/>
    <w:rsid w:val="00795992"/>
    <w:rsid w:val="00796252"/>
    <w:rsid w:val="007B181A"/>
    <w:rsid w:val="007B4DFA"/>
    <w:rsid w:val="007C1533"/>
    <w:rsid w:val="007D1AC9"/>
    <w:rsid w:val="007D4B18"/>
    <w:rsid w:val="00811C59"/>
    <w:rsid w:val="00812ED5"/>
    <w:rsid w:val="008174C8"/>
    <w:rsid w:val="00821A06"/>
    <w:rsid w:val="00824C40"/>
    <w:rsid w:val="0083534C"/>
    <w:rsid w:val="00841E63"/>
    <w:rsid w:val="00847C97"/>
    <w:rsid w:val="00860B4D"/>
    <w:rsid w:val="00863780"/>
    <w:rsid w:val="00872D38"/>
    <w:rsid w:val="00873461"/>
    <w:rsid w:val="00877785"/>
    <w:rsid w:val="00881E08"/>
    <w:rsid w:val="008A53EF"/>
    <w:rsid w:val="008C43C3"/>
    <w:rsid w:val="008E1E50"/>
    <w:rsid w:val="008F183E"/>
    <w:rsid w:val="0091706D"/>
    <w:rsid w:val="009221C8"/>
    <w:rsid w:val="009C3B52"/>
    <w:rsid w:val="009F26E4"/>
    <w:rsid w:val="00A0491A"/>
    <w:rsid w:val="00A07A84"/>
    <w:rsid w:val="00A25C2D"/>
    <w:rsid w:val="00A35C69"/>
    <w:rsid w:val="00A415E7"/>
    <w:rsid w:val="00A60BF9"/>
    <w:rsid w:val="00A7166A"/>
    <w:rsid w:val="00A80BE4"/>
    <w:rsid w:val="00A81371"/>
    <w:rsid w:val="00AC7A0A"/>
    <w:rsid w:val="00AF73DA"/>
    <w:rsid w:val="00B12D65"/>
    <w:rsid w:val="00B26160"/>
    <w:rsid w:val="00B44030"/>
    <w:rsid w:val="00B554E2"/>
    <w:rsid w:val="00B64765"/>
    <w:rsid w:val="00B80CF7"/>
    <w:rsid w:val="00B904AE"/>
    <w:rsid w:val="00BC51A9"/>
    <w:rsid w:val="00BE5BFB"/>
    <w:rsid w:val="00BF2A8D"/>
    <w:rsid w:val="00C07B71"/>
    <w:rsid w:val="00C2709D"/>
    <w:rsid w:val="00C46519"/>
    <w:rsid w:val="00C523CA"/>
    <w:rsid w:val="00C5619C"/>
    <w:rsid w:val="00C7614C"/>
    <w:rsid w:val="00C82F1B"/>
    <w:rsid w:val="00C839E9"/>
    <w:rsid w:val="00C92E93"/>
    <w:rsid w:val="00C93FA9"/>
    <w:rsid w:val="00CA3ED6"/>
    <w:rsid w:val="00CE1952"/>
    <w:rsid w:val="00D205C1"/>
    <w:rsid w:val="00D264ED"/>
    <w:rsid w:val="00D40AC8"/>
    <w:rsid w:val="00D500E0"/>
    <w:rsid w:val="00D52833"/>
    <w:rsid w:val="00D71AE1"/>
    <w:rsid w:val="00D86BE0"/>
    <w:rsid w:val="00D87E8E"/>
    <w:rsid w:val="00DA24BC"/>
    <w:rsid w:val="00DB6E05"/>
    <w:rsid w:val="00E07B19"/>
    <w:rsid w:val="00E37E70"/>
    <w:rsid w:val="00E5575D"/>
    <w:rsid w:val="00E55DF4"/>
    <w:rsid w:val="00E565E1"/>
    <w:rsid w:val="00E747F8"/>
    <w:rsid w:val="00E82457"/>
    <w:rsid w:val="00E90A76"/>
    <w:rsid w:val="00E926A1"/>
    <w:rsid w:val="00EA37E8"/>
    <w:rsid w:val="00EC3269"/>
    <w:rsid w:val="00EC481D"/>
    <w:rsid w:val="00EF2AFB"/>
    <w:rsid w:val="00F03139"/>
    <w:rsid w:val="00F42445"/>
    <w:rsid w:val="00F454C5"/>
    <w:rsid w:val="00F47D46"/>
    <w:rsid w:val="00F56352"/>
    <w:rsid w:val="00F57585"/>
    <w:rsid w:val="00F74317"/>
    <w:rsid w:val="00FE68B9"/>
    <w:rsid w:val="00FF45DC"/>
    <w:rsid w:val="023C3459"/>
    <w:rsid w:val="027C2D86"/>
    <w:rsid w:val="028656D7"/>
    <w:rsid w:val="02C34721"/>
    <w:rsid w:val="04CB0B19"/>
    <w:rsid w:val="0509707A"/>
    <w:rsid w:val="0574156B"/>
    <w:rsid w:val="05756450"/>
    <w:rsid w:val="05F124D2"/>
    <w:rsid w:val="07F537DE"/>
    <w:rsid w:val="084038E7"/>
    <w:rsid w:val="097F6F27"/>
    <w:rsid w:val="0A1B20A7"/>
    <w:rsid w:val="0B86656D"/>
    <w:rsid w:val="0BCB2BB3"/>
    <w:rsid w:val="0C2D7760"/>
    <w:rsid w:val="0C7C0650"/>
    <w:rsid w:val="0C917398"/>
    <w:rsid w:val="0CFF7EA2"/>
    <w:rsid w:val="0E1B4560"/>
    <w:rsid w:val="0EB40506"/>
    <w:rsid w:val="0F3A6D74"/>
    <w:rsid w:val="0F47304E"/>
    <w:rsid w:val="0FA97481"/>
    <w:rsid w:val="101C351E"/>
    <w:rsid w:val="10642A89"/>
    <w:rsid w:val="10ED5292"/>
    <w:rsid w:val="115C6E1E"/>
    <w:rsid w:val="11661A17"/>
    <w:rsid w:val="117306C3"/>
    <w:rsid w:val="1174263E"/>
    <w:rsid w:val="11F16D6E"/>
    <w:rsid w:val="11FC78F2"/>
    <w:rsid w:val="13D03791"/>
    <w:rsid w:val="15C43764"/>
    <w:rsid w:val="16A64361"/>
    <w:rsid w:val="16AB01A8"/>
    <w:rsid w:val="17B21D1D"/>
    <w:rsid w:val="17E172E7"/>
    <w:rsid w:val="1A575448"/>
    <w:rsid w:val="1A6E6F6A"/>
    <w:rsid w:val="1A912F59"/>
    <w:rsid w:val="1BAB71B3"/>
    <w:rsid w:val="1D2C3A24"/>
    <w:rsid w:val="1D380DC2"/>
    <w:rsid w:val="1DFD7D50"/>
    <w:rsid w:val="1EF21DCC"/>
    <w:rsid w:val="1F0D2AA6"/>
    <w:rsid w:val="20385145"/>
    <w:rsid w:val="20BE6601"/>
    <w:rsid w:val="20DD0A61"/>
    <w:rsid w:val="20FD5D0C"/>
    <w:rsid w:val="215F62A1"/>
    <w:rsid w:val="21877A7F"/>
    <w:rsid w:val="22C03AA0"/>
    <w:rsid w:val="240C0F73"/>
    <w:rsid w:val="242F6CB9"/>
    <w:rsid w:val="246F7FEB"/>
    <w:rsid w:val="248D510E"/>
    <w:rsid w:val="24E8109D"/>
    <w:rsid w:val="25640414"/>
    <w:rsid w:val="256650BC"/>
    <w:rsid w:val="25C95720"/>
    <w:rsid w:val="262D2802"/>
    <w:rsid w:val="26B52FDA"/>
    <w:rsid w:val="27FD5EEE"/>
    <w:rsid w:val="28800BFD"/>
    <w:rsid w:val="2918331B"/>
    <w:rsid w:val="29441EE7"/>
    <w:rsid w:val="2A1951C5"/>
    <w:rsid w:val="2A9B7D00"/>
    <w:rsid w:val="2B3A0FE6"/>
    <w:rsid w:val="2BEB68D9"/>
    <w:rsid w:val="2BFD3C98"/>
    <w:rsid w:val="2C1B2173"/>
    <w:rsid w:val="2D2764C4"/>
    <w:rsid w:val="2DFA5723"/>
    <w:rsid w:val="31921263"/>
    <w:rsid w:val="31B82B84"/>
    <w:rsid w:val="32417E84"/>
    <w:rsid w:val="32BC7A6F"/>
    <w:rsid w:val="33397B2F"/>
    <w:rsid w:val="34281C3D"/>
    <w:rsid w:val="35747E2C"/>
    <w:rsid w:val="36275F48"/>
    <w:rsid w:val="37092125"/>
    <w:rsid w:val="385B41F0"/>
    <w:rsid w:val="39175B03"/>
    <w:rsid w:val="3A447540"/>
    <w:rsid w:val="3B0A3139"/>
    <w:rsid w:val="3B256911"/>
    <w:rsid w:val="3BEB4B64"/>
    <w:rsid w:val="3E3262F9"/>
    <w:rsid w:val="3E667F74"/>
    <w:rsid w:val="3EC64561"/>
    <w:rsid w:val="3FB723A8"/>
    <w:rsid w:val="40432B36"/>
    <w:rsid w:val="41CE7BC5"/>
    <w:rsid w:val="42626E10"/>
    <w:rsid w:val="438B32CA"/>
    <w:rsid w:val="45FA0F01"/>
    <w:rsid w:val="46282759"/>
    <w:rsid w:val="463E3185"/>
    <w:rsid w:val="46600600"/>
    <w:rsid w:val="47501C04"/>
    <w:rsid w:val="4873172F"/>
    <w:rsid w:val="4A48364A"/>
    <w:rsid w:val="4A891728"/>
    <w:rsid w:val="4C40256C"/>
    <w:rsid w:val="4C7F3005"/>
    <w:rsid w:val="4E3C4613"/>
    <w:rsid w:val="4EFF6513"/>
    <w:rsid w:val="4F01446D"/>
    <w:rsid w:val="50475C80"/>
    <w:rsid w:val="50537E2F"/>
    <w:rsid w:val="509E1256"/>
    <w:rsid w:val="524F4E8A"/>
    <w:rsid w:val="5273613D"/>
    <w:rsid w:val="531D48EE"/>
    <w:rsid w:val="538F046B"/>
    <w:rsid w:val="53DF6534"/>
    <w:rsid w:val="54150DA3"/>
    <w:rsid w:val="55077901"/>
    <w:rsid w:val="552E5D24"/>
    <w:rsid w:val="553F4A4A"/>
    <w:rsid w:val="555D0D47"/>
    <w:rsid w:val="59782384"/>
    <w:rsid w:val="5A4570E6"/>
    <w:rsid w:val="5A945434"/>
    <w:rsid w:val="5AC2219F"/>
    <w:rsid w:val="5B496D6D"/>
    <w:rsid w:val="5B6104B5"/>
    <w:rsid w:val="5B8B4064"/>
    <w:rsid w:val="5C923D4D"/>
    <w:rsid w:val="5D117E23"/>
    <w:rsid w:val="5E1B4A37"/>
    <w:rsid w:val="5EC05740"/>
    <w:rsid w:val="5ECD5C44"/>
    <w:rsid w:val="5F4952BC"/>
    <w:rsid w:val="616E6CA7"/>
    <w:rsid w:val="61DE2E93"/>
    <w:rsid w:val="6343296E"/>
    <w:rsid w:val="635202FA"/>
    <w:rsid w:val="643103B6"/>
    <w:rsid w:val="67811864"/>
    <w:rsid w:val="68F7062C"/>
    <w:rsid w:val="6A2815BF"/>
    <w:rsid w:val="6CB50A14"/>
    <w:rsid w:val="6DB123F3"/>
    <w:rsid w:val="6DD550CA"/>
    <w:rsid w:val="6E1A6C48"/>
    <w:rsid w:val="6EAC7D31"/>
    <w:rsid w:val="6F01256D"/>
    <w:rsid w:val="6FBC5936"/>
    <w:rsid w:val="6FCA664A"/>
    <w:rsid w:val="70D4307F"/>
    <w:rsid w:val="735C5AA1"/>
    <w:rsid w:val="73781BAB"/>
    <w:rsid w:val="73996C0A"/>
    <w:rsid w:val="75C60F9C"/>
    <w:rsid w:val="76023E80"/>
    <w:rsid w:val="76603975"/>
    <w:rsid w:val="77ED5196"/>
    <w:rsid w:val="794C162F"/>
    <w:rsid w:val="79A50848"/>
    <w:rsid w:val="7AD309D9"/>
    <w:rsid w:val="7B657330"/>
    <w:rsid w:val="7C6441B5"/>
    <w:rsid w:val="7D0B77EC"/>
    <w:rsid w:val="7DB032E1"/>
    <w:rsid w:val="7E3F0612"/>
    <w:rsid w:val="7E9B4B93"/>
    <w:rsid w:val="7F021E90"/>
    <w:rsid w:val="7F614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1"/>
    <w:pPr>
      <w:ind w:left="400" w:firstLine="640"/>
    </w:pPr>
    <w:rPr>
      <w:rFonts w:ascii="仿宋_GB2312" w:hAnsi="仿宋_GB2312" w:eastAsia="仿宋_GB2312" w:cs="仿宋_GB2312"/>
      <w:i/>
      <w:sz w:val="32"/>
      <w:szCs w:val="32"/>
      <w:lang w:val="zh-CN" w:bidi="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rPr>
      <w:rFonts w:ascii="Calibri" w:hAnsi="Calibri" w:eastAsia="宋体" w:cs="Times New Roman"/>
      <w:szCs w:val="24"/>
    </w:rPr>
  </w:style>
  <w:style w:type="paragraph" w:styleId="6">
    <w:name w:val="Title"/>
    <w:basedOn w:val="1"/>
    <w:next w:val="1"/>
    <w:link w:val="17"/>
    <w:qFormat/>
    <w:uiPriority w:val="0"/>
    <w:pPr>
      <w:spacing w:before="240" w:after="60"/>
      <w:jc w:val="center"/>
      <w:outlineLvl w:val="0"/>
    </w:pPr>
    <w:rPr>
      <w:rFonts w:ascii="Calibri Light" w:hAnsi="Calibri Light" w:eastAsia="宋体" w:cs="Times New Roman"/>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autoRedefine/>
    <w:qFormat/>
    <w:uiPriority w:val="0"/>
  </w:style>
  <w:style w:type="character" w:styleId="11">
    <w:name w:val="Hyperlink"/>
    <w:autoRedefine/>
    <w:qFormat/>
    <w:uiPriority w:val="0"/>
    <w:rPr>
      <w:color w:val="0000FF"/>
      <w:u w:val="single"/>
    </w:rPr>
  </w:style>
  <w:style w:type="character" w:customStyle="1" w:styleId="12">
    <w:name w:val="页眉 Char"/>
    <w:basedOn w:val="9"/>
    <w:link w:val="4"/>
    <w:autoRedefine/>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5">
    <w:name w:val="List Paragraph"/>
    <w:basedOn w:val="1"/>
    <w:autoRedefine/>
    <w:qFormat/>
    <w:uiPriority w:val="34"/>
    <w:pPr>
      <w:ind w:firstLine="420" w:firstLineChars="200"/>
    </w:pPr>
  </w:style>
  <w:style w:type="character" w:customStyle="1" w:styleId="16">
    <w:name w:val="正文文本 Char"/>
    <w:basedOn w:val="9"/>
    <w:link w:val="2"/>
    <w:qFormat/>
    <w:uiPriority w:val="1"/>
    <w:rPr>
      <w:rFonts w:ascii="仿宋_GB2312" w:hAnsi="仿宋_GB2312" w:eastAsia="仿宋_GB2312" w:cs="仿宋_GB2312"/>
      <w:i/>
      <w:kern w:val="2"/>
      <w:sz w:val="32"/>
      <w:szCs w:val="32"/>
      <w:lang w:val="zh-CN" w:bidi="zh-CN"/>
    </w:rPr>
  </w:style>
  <w:style w:type="character" w:customStyle="1" w:styleId="17">
    <w:name w:val="标题 Char"/>
    <w:basedOn w:val="9"/>
    <w:link w:val="6"/>
    <w:autoRedefine/>
    <w:qFormat/>
    <w:uiPriority w:val="0"/>
    <w:rPr>
      <w:rFonts w:ascii="Calibri Light" w:hAnsi="Calibri Light"/>
      <w:b/>
      <w:bCs/>
      <w:kern w:val="2"/>
      <w:sz w:val="32"/>
      <w:szCs w:val="32"/>
    </w:rPr>
  </w:style>
  <w:style w:type="character" w:customStyle="1" w:styleId="18">
    <w:name w:val="font01"/>
    <w:basedOn w:val="9"/>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96EB4-EBD2-4725-9011-C17CF4B3F2FA}">
  <ds:schemaRefs/>
</ds:datastoreItem>
</file>

<file path=customXml/itemProps3.xml><?xml version="1.0" encoding="utf-8"?>
<ds:datastoreItem xmlns:ds="http://schemas.openxmlformats.org/officeDocument/2006/customXml" ds:itemID="{39391C01-0FED-4C43-AD2B-88649FA932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9817</Words>
  <Characters>11884</Characters>
  <Lines>104</Lines>
  <Paragraphs>29</Paragraphs>
  <TotalTime>684</TotalTime>
  <ScaleCrop>false</ScaleCrop>
  <LinksUpToDate>false</LinksUpToDate>
  <CharactersWithSpaces>13363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李佳欣</cp:lastModifiedBy>
  <cp:lastPrinted>2021-09-18T02:04:00Z</cp:lastPrinted>
  <dcterms:modified xsi:type="dcterms:W3CDTF">2024-04-03T06:27:39Z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CB81366D9F834CA799B65049C94E45A4_12</vt:lpwstr>
  </property>
</Properties>
</file>