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b/>
          <w:spacing w:val="-16"/>
          <w:sz w:val="72"/>
          <w:szCs w:val="72"/>
        </w:rPr>
      </w:pPr>
      <w:r>
        <w:rPr>
          <w:rFonts w:hint="eastAsia"/>
          <w:b/>
          <w:spacing w:val="-16"/>
          <w:sz w:val="72"/>
          <w:szCs w:val="72"/>
        </w:rPr>
        <w:t>湖南大宇联合会计师事务所</w:t>
      </w:r>
    </w:p>
    <w:p>
      <w:pPr>
        <w:jc w:val="distribute"/>
        <w:outlineLvl w:val="0"/>
        <w:rPr>
          <w:rFonts w:ascii="宋体" w:hAnsi="宋体"/>
          <w:sz w:val="28"/>
        </w:rPr>
      </w:pPr>
      <w:r>
        <w:rPr>
          <w:rFonts w:hint="eastAsia" w:ascii="宋体" w:hAnsi="宋体" w:cs="宋体"/>
          <w:b/>
          <w:spacing w:val="-20"/>
          <w:kern w:val="0"/>
          <w:sz w:val="48"/>
          <w:szCs w:val="48"/>
        </w:rPr>
        <w:t>HUNAN DAYU C.P.A. PARTNERSHIP</w:t>
      </w:r>
    </w:p>
    <w:p>
      <w:pPr>
        <w:spacing w:line="240" w:lineRule="exact"/>
        <w:jc w:val="center"/>
        <w:rPr>
          <w:rFonts w:ascii="Times New Roman" w:hAnsi="Times New Roman" w:eastAsia="黑体"/>
          <w:bCs/>
          <w:sz w:val="36"/>
          <w:szCs w:val="36"/>
        </w:rPr>
      </w:pPr>
      <w:r>
        <w:rPr>
          <w:rFonts w:ascii="Times New Roman" w:hAnsi="Times New Roman"/>
          <w:sz w:val="28"/>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43180</wp:posOffset>
                </wp:positionV>
                <wp:extent cx="5726430" cy="19050"/>
                <wp:effectExtent l="0" t="9525" r="7620" b="9525"/>
                <wp:wrapNone/>
                <wp:docPr id="1" name="直接箭头连接符 1"/>
                <wp:cNvGraphicFramePr/>
                <a:graphic xmlns:a="http://schemas.openxmlformats.org/drawingml/2006/main">
                  <a:graphicData uri="http://schemas.microsoft.com/office/word/2010/wordprocessingShape">
                    <wps:wsp>
                      <wps:cNvCnPr/>
                      <wps:spPr>
                        <a:xfrm flipV="1">
                          <a:off x="0" y="0"/>
                          <a:ext cx="5726430" cy="1905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05pt;margin-top:3.4pt;height:1.5pt;width:450.9pt;z-index:251659264;mso-width-relative:page;mso-height-relative:page;" filled="f" stroked="t" coordsize="21600,21600" o:gfxdata="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t3bePXAAAABgEAAA8AAAAAAAAAAQAgAAAAIgAAAGRy&#10;cy9kb3ducmV2LnhtbFBLAQIUABQAAAAIAIdO4kDMoAhMBgIAAPsDAAAOAAAAAAAAAAEAIAAAACYB&#10;AABkcnMvZTJvRG9jLnhtbFBLBQYAAAAABgAGAFkBAACeBQAAAAA=&#10;">
                <v:fill on="f" focussize="0,0"/>
                <v:stroke weight="1.5pt" color="#000000" joinstyle="round"/>
                <v:imagedata o:title=""/>
                <o:lock v:ext="edit" aspectratio="f"/>
              </v:shape>
            </w:pict>
          </mc:Fallback>
        </mc:AlternateContent>
      </w:r>
    </w:p>
    <w:p>
      <w:pPr>
        <w:spacing w:before="20" w:after="20" w:line="640" w:lineRule="exact"/>
        <w:jc w:val="center"/>
        <w:outlineLvl w:val="0"/>
        <w:rPr>
          <w:rFonts w:ascii="Times New Roman" w:hAnsi="Times New Roman" w:eastAsia="华文中宋"/>
          <w:spacing w:val="-20"/>
          <w:sz w:val="44"/>
          <w:szCs w:val="44"/>
        </w:rPr>
      </w:pPr>
      <w:r>
        <w:rPr>
          <w:rFonts w:ascii="Times New Roman" w:hAnsi="Times New Roman" w:eastAsia="华文中宋"/>
          <w:spacing w:val="-20"/>
          <w:sz w:val="44"/>
          <w:szCs w:val="44"/>
        </w:rPr>
        <w:t>湖南湘江新区土地储备中心</w:t>
      </w:r>
    </w:p>
    <w:p>
      <w:pPr>
        <w:spacing w:before="20" w:after="20" w:line="640" w:lineRule="exact"/>
        <w:jc w:val="center"/>
        <w:outlineLvl w:val="0"/>
        <w:rPr>
          <w:rFonts w:ascii="Times New Roman" w:hAnsi="Times New Roman" w:eastAsia="华文中宋"/>
          <w:spacing w:val="-20"/>
          <w:sz w:val="44"/>
          <w:szCs w:val="44"/>
        </w:rPr>
      </w:pPr>
      <w:r>
        <w:rPr>
          <w:rFonts w:ascii="Times New Roman" w:hAnsi="Times New Roman" w:eastAsia="华文中宋"/>
          <w:spacing w:val="-20"/>
          <w:sz w:val="44"/>
          <w:szCs w:val="44"/>
        </w:rPr>
        <w:t>2021年度部门整体支出绩效评价报告</w:t>
      </w:r>
      <w:bookmarkStart w:id="0" w:name="_GoBack"/>
    </w:p>
    <w:bookmarkEnd w:id="0"/>
    <w:p>
      <w:pPr>
        <w:spacing w:line="360" w:lineRule="auto"/>
        <w:jc w:val="right"/>
        <w:rPr>
          <w:rFonts w:ascii="Times New Roman" w:hAnsi="Times New Roman"/>
          <w:sz w:val="28"/>
        </w:rPr>
      </w:pPr>
      <w:r>
        <w:rPr>
          <w:rFonts w:ascii="Times New Roman" w:hAnsi="Times New Roman"/>
          <w:sz w:val="28"/>
        </w:rPr>
        <w:t>大宇绩评字[202</w:t>
      </w:r>
      <w:r>
        <w:rPr>
          <w:rFonts w:hint="eastAsia" w:ascii="Times New Roman" w:hAnsi="Times New Roman"/>
          <w:sz w:val="28"/>
        </w:rPr>
        <w:t>2</w:t>
      </w:r>
      <w:r>
        <w:rPr>
          <w:rFonts w:ascii="Times New Roman" w:hAnsi="Times New Roman"/>
          <w:sz w:val="28"/>
        </w:rPr>
        <w:t>]第XXX号</w:t>
      </w:r>
    </w:p>
    <w:p>
      <w:pPr>
        <w:pStyle w:val="2"/>
        <w:rPr>
          <w:rFonts w:ascii="Times New Roman" w:hAnsi="Times New Roman"/>
        </w:rPr>
      </w:pPr>
    </w:p>
    <w:p>
      <w:pPr>
        <w:spacing w:line="560" w:lineRule="exact"/>
        <w:ind w:firstLine="640" w:firstLineChars="200"/>
        <w:rPr>
          <w:rFonts w:ascii="Times New Roman" w:hAnsi="Times New Roman" w:eastAsia="仿宋"/>
          <w:sz w:val="32"/>
          <w:szCs w:val="32"/>
          <w:lang w:val="zh-CN"/>
        </w:rPr>
      </w:pPr>
      <w:r>
        <w:rPr>
          <w:rFonts w:ascii="Times New Roman" w:hAnsi="Times New Roman" w:eastAsia="仿宋"/>
          <w:sz w:val="32"/>
          <w:szCs w:val="32"/>
        </w:rPr>
        <w:t>为加强财政支出管理，切实提高财政资金使用效益，进一步落实监管责任，根据《中华人民共和国预算法》《中共中央国务院关于全面实施预算绩效管理的意见》（中发〔2018〕34号）、《财政部关于印发&lt;项目支出绩效评价管理办法&gt;的通知》（财预〔2020〕10号）《中共湖南省委办公厅 湖南省人民政府办公厅关于全面实施预算绩效管理的实施意见》（湘办发〔2019〕10号）《湖南湘江新区管理委员会财政局（金融办）关于开展2022年财政支出重点绩效评价工作的通知》（湘新财发〔2022〕5号）等</w:t>
      </w:r>
      <w:r>
        <w:rPr>
          <w:rFonts w:ascii="Times New Roman" w:hAnsi="Times New Roman" w:eastAsia="仿宋"/>
          <w:spacing w:val="6"/>
          <w:sz w:val="32"/>
          <w:szCs w:val="32"/>
        </w:rPr>
        <w:t>文件精神，受湖南湘江新区管理委员会财政局（金融办）委托，我所组建绩效评价工作组，本着独立、客观、公正、科学的原则，于2022年8月1日至9月9日，</w:t>
      </w:r>
      <w:r>
        <w:rPr>
          <w:rFonts w:ascii="Times New Roman" w:hAnsi="Times New Roman" w:eastAsia="仿宋"/>
          <w:sz w:val="32"/>
          <w:szCs w:val="32"/>
        </w:rPr>
        <w:t>对</w:t>
      </w:r>
      <w:r>
        <w:rPr>
          <w:rFonts w:ascii="Times New Roman" w:hAnsi="Times New Roman" w:eastAsia="仿宋"/>
          <w:sz w:val="32"/>
          <w:szCs w:val="32"/>
          <w:lang w:val="zh-CN"/>
        </w:rPr>
        <w:t>湖南湘江新区土地储备中心（以下简称“新区土储中心”）</w:t>
      </w:r>
      <w:r>
        <w:rPr>
          <w:rFonts w:ascii="Times New Roman" w:hAnsi="Times New Roman" w:eastAsia="仿宋"/>
          <w:sz w:val="32"/>
          <w:szCs w:val="32"/>
        </w:rPr>
        <w:t>2021年度部门整体支出实施了绩效评价。</w:t>
      </w:r>
      <w:r>
        <w:rPr>
          <w:rFonts w:ascii="Times New Roman" w:hAnsi="Times New Roman" w:eastAsia="仿宋"/>
          <w:sz w:val="32"/>
          <w:szCs w:val="32"/>
          <w:lang w:val="zh-CN"/>
        </w:rPr>
        <w:t>评价主要采用查阅资料、比较、核对、定量和定性分析等方法，从新区土储中心的机构设置、主要职能、人员情况、绩效目标、财政资金收支预算及支出情况、财务管理状况、部门履职情况等方面</w:t>
      </w:r>
      <w:r>
        <w:rPr>
          <w:rFonts w:ascii="Times New Roman" w:hAnsi="Times New Roman" w:eastAsia="仿宋"/>
          <w:sz w:val="32"/>
          <w:szCs w:val="32"/>
        </w:rPr>
        <w:t>开展了评价工作。现将评价结果报告如下：</w:t>
      </w:r>
    </w:p>
    <w:p>
      <w:pPr>
        <w:spacing w:line="560" w:lineRule="exact"/>
        <w:ind w:firstLine="600" w:firstLineChars="200"/>
        <w:outlineLvl w:val="0"/>
        <w:rPr>
          <w:rFonts w:ascii="Times New Roman" w:hAnsi="Times New Roman" w:eastAsia="黑体"/>
          <w:spacing w:val="-10"/>
          <w:sz w:val="32"/>
          <w:szCs w:val="32"/>
        </w:rPr>
      </w:pPr>
      <w:r>
        <w:rPr>
          <w:rFonts w:ascii="Times New Roman" w:hAnsi="Times New Roman" w:eastAsia="黑体"/>
          <w:spacing w:val="-10"/>
          <w:sz w:val="32"/>
          <w:szCs w:val="32"/>
        </w:rPr>
        <w:t>一、部门概况</w:t>
      </w:r>
    </w:p>
    <w:p>
      <w:pPr>
        <w:spacing w:line="560" w:lineRule="exact"/>
        <w:ind w:firstLine="603" w:firstLineChars="200"/>
        <w:outlineLvl w:val="1"/>
        <w:rPr>
          <w:rFonts w:ascii="Times New Roman" w:hAnsi="Times New Roman" w:eastAsia="楷体_GB2312"/>
          <w:b/>
          <w:bCs/>
          <w:spacing w:val="-10"/>
          <w:sz w:val="32"/>
          <w:szCs w:val="32"/>
        </w:rPr>
      </w:pPr>
      <w:r>
        <w:rPr>
          <w:rFonts w:ascii="Times New Roman" w:hAnsi="Times New Roman" w:eastAsia="楷体_GB2312"/>
          <w:b/>
          <w:bCs/>
          <w:spacing w:val="-10"/>
          <w:sz w:val="32"/>
          <w:szCs w:val="32"/>
        </w:rPr>
        <w:t>（一）部门基本情况</w:t>
      </w:r>
    </w:p>
    <w:p>
      <w:pPr>
        <w:spacing w:line="560" w:lineRule="exact"/>
        <w:ind w:firstLine="603" w:firstLineChars="200"/>
        <w:outlineLvl w:val="0"/>
        <w:rPr>
          <w:rFonts w:ascii="Times New Roman" w:hAnsi="Times New Roman" w:eastAsia="仿宋"/>
          <w:b/>
          <w:bCs/>
          <w:spacing w:val="-10"/>
          <w:sz w:val="32"/>
          <w:szCs w:val="32"/>
        </w:rPr>
      </w:pPr>
      <w:r>
        <w:rPr>
          <w:rFonts w:ascii="Times New Roman" w:hAnsi="Times New Roman" w:eastAsia="仿宋"/>
          <w:b/>
          <w:bCs/>
          <w:spacing w:val="-10"/>
          <w:sz w:val="32"/>
          <w:szCs w:val="32"/>
        </w:rPr>
        <w:t>1. 机构设置</w:t>
      </w:r>
    </w:p>
    <w:p>
      <w:pPr>
        <w:spacing w:line="560" w:lineRule="exact"/>
        <w:ind w:firstLine="600" w:firstLineChars="200"/>
        <w:rPr>
          <w:rFonts w:ascii="Times New Roman" w:hAnsi="Times New Roman" w:eastAsia="仿宋"/>
          <w:spacing w:val="-10"/>
          <w:sz w:val="32"/>
          <w:szCs w:val="32"/>
        </w:rPr>
      </w:pPr>
      <w:r>
        <w:rPr>
          <w:rFonts w:ascii="Times New Roman" w:hAnsi="Times New Roman" w:eastAsia="仿宋"/>
          <w:spacing w:val="-10"/>
          <w:sz w:val="32"/>
          <w:szCs w:val="32"/>
        </w:rPr>
        <w:t>新区土储中心系湖南湘江新区管理委员会所属的正处级一类事业单位，</w:t>
      </w:r>
      <w:r>
        <w:rPr>
          <w:rFonts w:ascii="Times New Roman" w:hAnsi="Times New Roman" w:eastAsia="仿宋"/>
          <w:spacing w:val="-10"/>
          <w:sz w:val="32"/>
          <w:szCs w:val="32"/>
          <w:lang w:val="zh-CN"/>
        </w:rPr>
        <w:t>内设综合科、财务科、储备科、交易科、棚改科5个科室</w:t>
      </w:r>
      <w:r>
        <w:rPr>
          <w:rFonts w:ascii="Times New Roman" w:hAnsi="Times New Roman" w:eastAsia="仿宋"/>
          <w:spacing w:val="-10"/>
          <w:sz w:val="32"/>
          <w:szCs w:val="32"/>
        </w:rPr>
        <w:t>。</w:t>
      </w:r>
    </w:p>
    <w:p>
      <w:pPr>
        <w:numPr>
          <w:ilvl w:val="0"/>
          <w:numId w:val="1"/>
        </w:numPr>
        <w:spacing w:line="560" w:lineRule="exact"/>
        <w:ind w:firstLine="603" w:firstLineChars="200"/>
        <w:outlineLvl w:val="0"/>
        <w:rPr>
          <w:rFonts w:ascii="Times New Roman" w:hAnsi="Times New Roman" w:eastAsia="仿宋"/>
          <w:b/>
          <w:bCs/>
          <w:spacing w:val="-10"/>
          <w:sz w:val="32"/>
          <w:szCs w:val="32"/>
        </w:rPr>
      </w:pPr>
      <w:r>
        <w:rPr>
          <w:rFonts w:ascii="Times New Roman" w:hAnsi="Times New Roman" w:eastAsia="仿宋"/>
          <w:b/>
          <w:bCs/>
          <w:spacing w:val="-10"/>
          <w:sz w:val="32"/>
          <w:szCs w:val="32"/>
        </w:rPr>
        <w:t>主要职能</w:t>
      </w:r>
    </w:p>
    <w:p>
      <w:pPr>
        <w:pStyle w:val="10"/>
        <w:spacing w:before="0" w:after="0" w:line="560" w:lineRule="exact"/>
        <w:ind w:firstLine="600" w:firstLineChars="200"/>
        <w:jc w:val="both"/>
        <w:rPr>
          <w:rFonts w:ascii="Times New Roman" w:hAnsi="Times New Roman" w:eastAsia="仿宋"/>
          <w:b w:val="0"/>
          <w:bCs w:val="0"/>
          <w:spacing w:val="-10"/>
        </w:rPr>
      </w:pPr>
      <w:r>
        <w:rPr>
          <w:rFonts w:ascii="Times New Roman" w:hAnsi="Times New Roman" w:eastAsia="仿宋"/>
          <w:b w:val="0"/>
          <w:bCs w:val="0"/>
          <w:spacing w:val="-10"/>
        </w:rPr>
        <w:t>（1）负责湖南湘江新区范围内农用地转用征收、储备融资、土地开发和土地供应的前期工作；</w:t>
      </w:r>
    </w:p>
    <w:p>
      <w:pPr>
        <w:pStyle w:val="10"/>
        <w:spacing w:before="0" w:after="0" w:line="560" w:lineRule="exact"/>
        <w:ind w:firstLine="600" w:firstLineChars="200"/>
        <w:jc w:val="both"/>
        <w:rPr>
          <w:rFonts w:ascii="Times New Roman" w:hAnsi="Times New Roman" w:eastAsia="仿宋"/>
          <w:b w:val="0"/>
          <w:bCs w:val="0"/>
          <w:spacing w:val="-10"/>
        </w:rPr>
      </w:pPr>
      <w:r>
        <w:rPr>
          <w:rFonts w:ascii="Times New Roman" w:hAnsi="Times New Roman" w:eastAsia="仿宋"/>
          <w:b w:val="0"/>
          <w:bCs w:val="0"/>
          <w:spacing w:val="-10"/>
        </w:rPr>
        <w:t>（2）负责新区范围内土地一级市场招标、拍卖和挂牌出让的具体事务性和技术性工作；</w:t>
      </w:r>
    </w:p>
    <w:p>
      <w:pPr>
        <w:pStyle w:val="10"/>
        <w:spacing w:before="0" w:after="0" w:line="560" w:lineRule="exact"/>
        <w:ind w:firstLine="600" w:firstLineChars="200"/>
        <w:jc w:val="both"/>
        <w:rPr>
          <w:rFonts w:ascii="Times New Roman" w:hAnsi="Times New Roman" w:eastAsia="仿宋"/>
          <w:b w:val="0"/>
          <w:bCs w:val="0"/>
          <w:spacing w:val="-10"/>
        </w:rPr>
      </w:pPr>
      <w:r>
        <w:rPr>
          <w:rFonts w:ascii="Times New Roman" w:hAnsi="Times New Roman" w:eastAsia="仿宋"/>
          <w:b w:val="0"/>
          <w:bCs w:val="0"/>
          <w:spacing w:val="-10"/>
        </w:rPr>
        <w:t>（3）负责新区土地交易管理及土地市场信息收集、分析工作；</w:t>
      </w:r>
    </w:p>
    <w:p>
      <w:pPr>
        <w:pStyle w:val="10"/>
        <w:spacing w:before="0" w:after="0" w:line="560" w:lineRule="exact"/>
        <w:ind w:firstLine="600" w:firstLineChars="200"/>
        <w:jc w:val="both"/>
        <w:rPr>
          <w:rFonts w:ascii="Times New Roman" w:hAnsi="Times New Roman" w:eastAsia="仿宋"/>
          <w:b w:val="0"/>
          <w:bCs w:val="0"/>
          <w:spacing w:val="-10"/>
        </w:rPr>
      </w:pPr>
      <w:r>
        <w:rPr>
          <w:rFonts w:ascii="Times New Roman" w:hAnsi="Times New Roman" w:eastAsia="仿宋"/>
          <w:b w:val="0"/>
          <w:bCs w:val="0"/>
          <w:spacing w:val="-10"/>
        </w:rPr>
        <w:t>（4）负责新区耕地占补平衡进行土地开发整理及储备工作;</w:t>
      </w:r>
    </w:p>
    <w:p>
      <w:pPr>
        <w:pStyle w:val="10"/>
        <w:spacing w:before="0" w:after="0" w:line="560" w:lineRule="exact"/>
        <w:ind w:firstLine="600" w:firstLineChars="200"/>
        <w:jc w:val="both"/>
        <w:rPr>
          <w:rFonts w:ascii="Times New Roman" w:hAnsi="Times New Roman" w:eastAsia="仿宋"/>
          <w:b w:val="0"/>
          <w:bCs w:val="0"/>
          <w:spacing w:val="-10"/>
        </w:rPr>
      </w:pPr>
      <w:r>
        <w:rPr>
          <w:rFonts w:ascii="Times New Roman" w:hAnsi="Times New Roman" w:eastAsia="仿宋"/>
          <w:b w:val="0"/>
          <w:bCs w:val="0"/>
          <w:spacing w:val="-10"/>
        </w:rPr>
        <w:t>（5）负责新区棚改计划的组织实施及棚改项目的统筹协调；</w:t>
      </w:r>
    </w:p>
    <w:p>
      <w:pPr>
        <w:pStyle w:val="10"/>
        <w:spacing w:before="0" w:after="0" w:line="560" w:lineRule="exact"/>
        <w:ind w:firstLine="600" w:firstLineChars="200"/>
        <w:jc w:val="both"/>
        <w:rPr>
          <w:rFonts w:ascii="Times New Roman" w:hAnsi="Times New Roman" w:eastAsia="仿宋"/>
          <w:b w:val="0"/>
          <w:bCs w:val="0"/>
          <w:spacing w:val="-10"/>
        </w:rPr>
      </w:pPr>
      <w:r>
        <w:rPr>
          <w:rFonts w:ascii="Times New Roman" w:hAnsi="Times New Roman" w:eastAsia="仿宋"/>
          <w:b w:val="0"/>
          <w:bCs w:val="0"/>
          <w:spacing w:val="-10"/>
        </w:rPr>
        <w:t>（6）承办党工委、管委会交办的其他事项。</w:t>
      </w:r>
    </w:p>
    <w:p>
      <w:pPr>
        <w:spacing w:line="560" w:lineRule="exact"/>
        <w:ind w:firstLine="603" w:firstLineChars="200"/>
        <w:outlineLvl w:val="0"/>
        <w:rPr>
          <w:rFonts w:ascii="Times New Roman" w:hAnsi="Times New Roman" w:eastAsia="仿宋"/>
          <w:b/>
          <w:bCs/>
          <w:spacing w:val="-10"/>
          <w:sz w:val="32"/>
          <w:szCs w:val="32"/>
        </w:rPr>
      </w:pPr>
      <w:r>
        <w:rPr>
          <w:rFonts w:ascii="Times New Roman" w:hAnsi="Times New Roman" w:eastAsia="仿宋"/>
          <w:b/>
          <w:bCs/>
          <w:spacing w:val="-10"/>
          <w:sz w:val="32"/>
          <w:szCs w:val="32"/>
        </w:rPr>
        <w:t>3. 人员情况</w:t>
      </w:r>
    </w:p>
    <w:p>
      <w:pPr>
        <w:pStyle w:val="2"/>
        <w:spacing w:line="560" w:lineRule="exact"/>
        <w:ind w:firstLine="600" w:firstLineChars="200"/>
        <w:rPr>
          <w:rFonts w:ascii="Times New Roman" w:hAnsi="Times New Roman" w:eastAsia="仿宋_GB2312"/>
          <w:spacing w:val="-10"/>
          <w:sz w:val="28"/>
          <w:szCs w:val="28"/>
        </w:rPr>
      </w:pPr>
      <w:r>
        <w:rPr>
          <w:rFonts w:ascii="Times New Roman" w:hAnsi="Times New Roman" w:eastAsia="仿宋"/>
          <w:spacing w:val="-10"/>
          <w:sz w:val="32"/>
          <w:szCs w:val="32"/>
        </w:rPr>
        <w:t>长编委发〔2016〕21号文件核定批复新区土储中心全额拨款事业编制21人，后长编办发〔2017〕85号文件新增全额拨款事业编制2名，共23名。截至2021年12月31日，新区土储中心实际在岗人员31名，其中：编内在岗人员20名、聘用人员11名。</w:t>
      </w:r>
    </w:p>
    <w:p>
      <w:pPr>
        <w:spacing w:line="560" w:lineRule="exact"/>
        <w:ind w:firstLine="603" w:firstLineChars="200"/>
        <w:outlineLvl w:val="1"/>
        <w:rPr>
          <w:rFonts w:ascii="Times New Roman" w:hAnsi="Times New Roman" w:eastAsia="楷体_GB2312"/>
          <w:b/>
          <w:bCs/>
          <w:spacing w:val="-10"/>
          <w:sz w:val="32"/>
          <w:szCs w:val="32"/>
          <w:lang w:val="zh-CN"/>
        </w:rPr>
      </w:pPr>
      <w:r>
        <w:rPr>
          <w:rFonts w:ascii="Times New Roman" w:hAnsi="Times New Roman" w:eastAsia="楷体_GB2312"/>
          <w:b/>
          <w:bCs/>
          <w:spacing w:val="-10"/>
          <w:sz w:val="32"/>
          <w:szCs w:val="32"/>
          <w:lang w:val="zh-CN"/>
        </w:rPr>
        <w:t>（二）部门管理制度及执行情况</w:t>
      </w:r>
    </w:p>
    <w:p>
      <w:pPr>
        <w:pStyle w:val="2"/>
        <w:spacing w:line="560" w:lineRule="exact"/>
        <w:ind w:firstLine="600" w:firstLineChars="200"/>
        <w:rPr>
          <w:rFonts w:ascii="Times New Roman" w:hAnsi="Times New Roman" w:eastAsia="仿宋_GB2312"/>
          <w:spacing w:val="-10"/>
          <w:sz w:val="32"/>
          <w:szCs w:val="32"/>
        </w:rPr>
      </w:pPr>
      <w:r>
        <w:rPr>
          <w:rFonts w:ascii="Times New Roman" w:hAnsi="Times New Roman" w:eastAsia="仿宋"/>
          <w:spacing w:val="-10"/>
          <w:sz w:val="32"/>
          <w:szCs w:val="32"/>
        </w:rPr>
        <w:t>新区土储中心依据《政府会计制度》《湖南湘江新区土地储备中心财务管理办法》以及湖南湘江新区管理委员会2021年度财政预算及相关法律法规等开展部门业务活动，制度执行基本到位。</w:t>
      </w:r>
    </w:p>
    <w:p>
      <w:pPr>
        <w:spacing w:line="560" w:lineRule="exact"/>
        <w:ind w:firstLine="603" w:firstLineChars="200"/>
        <w:outlineLvl w:val="1"/>
        <w:rPr>
          <w:rFonts w:ascii="Times New Roman" w:hAnsi="Times New Roman" w:eastAsia="楷体_GB2312"/>
          <w:b/>
          <w:bCs/>
          <w:spacing w:val="-10"/>
          <w:sz w:val="32"/>
          <w:szCs w:val="32"/>
          <w:lang w:val="zh-CN"/>
        </w:rPr>
      </w:pPr>
      <w:r>
        <w:rPr>
          <w:rFonts w:ascii="Times New Roman" w:hAnsi="Times New Roman" w:eastAsia="楷体_GB2312"/>
          <w:b/>
          <w:bCs/>
          <w:spacing w:val="-10"/>
          <w:sz w:val="32"/>
          <w:szCs w:val="32"/>
          <w:lang w:val="zh-CN"/>
        </w:rPr>
        <w:t>（三）部门绩效目标</w:t>
      </w:r>
    </w:p>
    <w:p>
      <w:pPr>
        <w:pStyle w:val="2"/>
        <w:rPr>
          <w:rFonts w:ascii="Times New Roman" w:hAnsi="Times New Roman" w:eastAsia="仿宋"/>
          <w:spacing w:val="-10"/>
          <w:sz w:val="32"/>
          <w:szCs w:val="32"/>
        </w:rPr>
      </w:pPr>
      <w:r>
        <w:rPr>
          <w:rFonts w:ascii="Times New Roman" w:hAnsi="Times New Roman" w:eastAsia="仿宋"/>
          <w:spacing w:val="-10"/>
          <w:sz w:val="32"/>
          <w:szCs w:val="32"/>
        </w:rPr>
        <w:t>根据新区土储中心整体支出绩效目标以及2021年重点工作计划，新区土储中心主要任务为：</w:t>
      </w:r>
    </w:p>
    <w:p>
      <w:pPr>
        <w:pStyle w:val="2"/>
        <w:ind w:firstLine="600" w:firstLineChars="200"/>
        <w:rPr>
          <w:rFonts w:ascii="Times New Roman" w:hAnsi="Times New Roman" w:eastAsia="仿宋"/>
          <w:spacing w:val="-10"/>
          <w:sz w:val="32"/>
          <w:szCs w:val="32"/>
        </w:rPr>
      </w:pPr>
      <w:r>
        <w:rPr>
          <w:rFonts w:ascii="Times New Roman" w:hAnsi="Times New Roman" w:eastAsia="仿宋"/>
          <w:spacing w:val="-10"/>
          <w:sz w:val="32"/>
          <w:szCs w:val="32"/>
        </w:rPr>
        <w:t>1.完成征地1,283亩，确保落实耕地指标不少于1,100亩；</w:t>
      </w:r>
    </w:p>
    <w:p>
      <w:pPr>
        <w:pStyle w:val="2"/>
        <w:ind w:firstLine="600" w:firstLineChars="200"/>
        <w:rPr>
          <w:rFonts w:ascii="Times New Roman" w:hAnsi="Times New Roman" w:eastAsia="仿宋"/>
          <w:spacing w:val="-10"/>
          <w:sz w:val="32"/>
          <w:szCs w:val="32"/>
        </w:rPr>
      </w:pPr>
      <w:r>
        <w:rPr>
          <w:rFonts w:ascii="Times New Roman" w:hAnsi="Times New Roman" w:eastAsia="仿宋"/>
          <w:spacing w:val="-10"/>
          <w:sz w:val="32"/>
          <w:szCs w:val="32"/>
        </w:rPr>
        <w:t>2.完成按《湖南省年度土地储备计划编制规范实施细则（修订本）》要求，编制土地储备年度计划；</w:t>
      </w:r>
    </w:p>
    <w:p>
      <w:pPr>
        <w:pStyle w:val="2"/>
        <w:ind w:firstLine="600" w:firstLineChars="200"/>
        <w:rPr>
          <w:rFonts w:ascii="Times New Roman" w:hAnsi="Times New Roman" w:eastAsia="仿宋"/>
          <w:spacing w:val="-10"/>
          <w:sz w:val="32"/>
          <w:szCs w:val="32"/>
        </w:rPr>
      </w:pPr>
      <w:r>
        <w:rPr>
          <w:rFonts w:ascii="Times New Roman" w:hAnsi="Times New Roman" w:eastAsia="仿宋"/>
          <w:spacing w:val="-10"/>
          <w:sz w:val="32"/>
          <w:szCs w:val="32"/>
        </w:rPr>
        <w:t>3.完成书记党课1次，支委会12次，党员大会4次，进行12次以上主题党日活动，开展1次党风廉政警示教育；党建廉政宣传报道不少于4次；结对共建不少于2次。</w:t>
      </w:r>
    </w:p>
    <w:p>
      <w:pPr>
        <w:spacing w:line="560" w:lineRule="exact"/>
        <w:ind w:firstLine="600" w:firstLineChars="200"/>
        <w:outlineLvl w:val="0"/>
        <w:rPr>
          <w:rFonts w:ascii="Times New Roman" w:hAnsi="Times New Roman" w:eastAsia="黑体"/>
          <w:spacing w:val="-10"/>
          <w:sz w:val="32"/>
          <w:szCs w:val="32"/>
        </w:rPr>
      </w:pPr>
      <w:r>
        <w:rPr>
          <w:rFonts w:ascii="Times New Roman" w:hAnsi="Times New Roman" w:eastAsia="黑体"/>
          <w:spacing w:val="-10"/>
          <w:sz w:val="32"/>
          <w:szCs w:val="32"/>
        </w:rPr>
        <w:t>二、部门预算资金编制、管理、使用情况</w:t>
      </w:r>
    </w:p>
    <w:p>
      <w:pPr>
        <w:pStyle w:val="2"/>
        <w:ind w:firstLine="600" w:firstLineChars="200"/>
        <w:rPr>
          <w:rFonts w:ascii="Times New Roman" w:hAnsi="Times New Roman" w:eastAsia="仿宋"/>
          <w:spacing w:val="-10"/>
          <w:sz w:val="32"/>
          <w:szCs w:val="32"/>
        </w:rPr>
      </w:pPr>
      <w:r>
        <w:rPr>
          <w:rFonts w:ascii="Times New Roman" w:hAnsi="Times New Roman" w:eastAsia="仿宋"/>
          <w:spacing w:val="-10"/>
          <w:sz w:val="32"/>
          <w:szCs w:val="32"/>
        </w:rPr>
        <w:t xml:space="preserve">2021年新区土储中心部门基本支出和项目支出年初预算1,220.50万元，年末预算调减50万元，调整后预算总额为1,170.50万元，实际支出946.79万元。   </w:t>
      </w:r>
    </w:p>
    <w:p>
      <w:pPr>
        <w:pStyle w:val="2"/>
        <w:ind w:firstLine="600" w:firstLineChars="200"/>
        <w:rPr>
          <w:rFonts w:ascii="Times New Roman" w:hAnsi="Times New Roman" w:eastAsia="仿宋"/>
          <w:spacing w:val="-10"/>
          <w:sz w:val="32"/>
          <w:szCs w:val="32"/>
        </w:rPr>
      </w:pPr>
      <w:r>
        <w:rPr>
          <w:rFonts w:ascii="Times New Roman" w:hAnsi="Times New Roman" w:eastAsia="仿宋"/>
          <w:spacing w:val="-10"/>
          <w:sz w:val="32"/>
          <w:szCs w:val="32"/>
        </w:rPr>
        <w:t>2021年新区土储中心</w:t>
      </w:r>
      <w:r>
        <w:rPr>
          <w:rFonts w:ascii="Times New Roman" w:hAnsi="Times New Roman" w:eastAsia="仿宋"/>
          <w:spacing w:val="-10"/>
          <w:sz w:val="32"/>
          <w:szCs w:val="32"/>
          <w:lang w:val="zh-CN"/>
        </w:rPr>
        <w:t>政府性基金支出（</w:t>
      </w:r>
      <w:r>
        <w:rPr>
          <w:rFonts w:ascii="Times New Roman" w:hAnsi="Times New Roman" w:eastAsia="仿宋"/>
          <w:spacing w:val="-10"/>
          <w:sz w:val="32"/>
          <w:szCs w:val="32"/>
        </w:rPr>
        <w:t>土地指标购买及前期开发费用</w:t>
      </w:r>
      <w:r>
        <w:rPr>
          <w:rFonts w:ascii="Times New Roman" w:hAnsi="Times New Roman" w:eastAsia="仿宋"/>
          <w:spacing w:val="-10"/>
          <w:sz w:val="32"/>
          <w:szCs w:val="32"/>
          <w:lang w:val="zh-CN"/>
        </w:rPr>
        <w:t>）</w:t>
      </w:r>
      <w:r>
        <w:rPr>
          <w:rFonts w:ascii="Times New Roman" w:hAnsi="Times New Roman" w:eastAsia="仿宋"/>
          <w:spacing w:val="-10"/>
          <w:sz w:val="32"/>
          <w:szCs w:val="32"/>
        </w:rPr>
        <w:t>年初预算34,774.00万元，</w:t>
      </w:r>
      <w:r>
        <w:rPr>
          <w:rFonts w:ascii="Times New Roman" w:hAnsi="Times New Roman" w:eastAsia="仿宋"/>
          <w:spacing w:val="-10"/>
          <w:sz w:val="32"/>
          <w:szCs w:val="32"/>
          <w:lang w:val="zh-CN"/>
        </w:rPr>
        <w:t>2021年完成项目支出</w:t>
      </w:r>
      <w:r>
        <w:rPr>
          <w:rFonts w:ascii="Times New Roman" w:hAnsi="Times New Roman" w:eastAsia="仿宋"/>
          <w:spacing w:val="-10"/>
          <w:sz w:val="32"/>
          <w:szCs w:val="32"/>
        </w:rPr>
        <w:t>34,774.00</w:t>
      </w:r>
      <w:r>
        <w:rPr>
          <w:rFonts w:ascii="Times New Roman" w:hAnsi="Times New Roman" w:eastAsia="仿宋"/>
          <w:spacing w:val="-10"/>
          <w:sz w:val="32"/>
          <w:szCs w:val="32"/>
          <w:lang w:val="zh-CN"/>
        </w:rPr>
        <w:t>万元。</w:t>
      </w:r>
      <w:r>
        <w:rPr>
          <w:rFonts w:ascii="Times New Roman" w:hAnsi="Times New Roman" w:eastAsia="仿宋"/>
          <w:spacing w:val="-10"/>
          <w:sz w:val="32"/>
          <w:szCs w:val="32"/>
        </w:rPr>
        <w:t>预算执行率100%。</w:t>
      </w:r>
    </w:p>
    <w:p>
      <w:pPr>
        <w:widowControl/>
        <w:spacing w:line="560" w:lineRule="exact"/>
        <w:ind w:firstLine="603" w:firstLineChars="200"/>
        <w:outlineLvl w:val="1"/>
        <w:rPr>
          <w:rFonts w:ascii="Times New Roman" w:hAnsi="Times New Roman" w:eastAsia="楷体_GB2312"/>
          <w:b/>
          <w:bCs/>
          <w:spacing w:val="-10"/>
          <w:sz w:val="32"/>
          <w:szCs w:val="32"/>
          <w:lang w:val="zh-CN"/>
        </w:rPr>
      </w:pPr>
      <w:r>
        <w:rPr>
          <w:rFonts w:ascii="Times New Roman" w:hAnsi="Times New Roman" w:eastAsia="楷体_GB2312"/>
          <w:b/>
          <w:bCs/>
          <w:spacing w:val="-10"/>
          <w:sz w:val="32"/>
          <w:szCs w:val="32"/>
          <w:lang w:val="zh-CN"/>
        </w:rPr>
        <w:t>（一）基本支出</w:t>
      </w:r>
    </w:p>
    <w:p>
      <w:pPr>
        <w:spacing w:line="560" w:lineRule="exact"/>
        <w:ind w:firstLine="600" w:firstLineChars="200"/>
        <w:rPr>
          <w:rFonts w:ascii="Times New Roman" w:hAnsi="Times New Roman" w:eastAsia="仿宋_GB2312"/>
          <w:spacing w:val="-10"/>
          <w:sz w:val="32"/>
          <w:szCs w:val="32"/>
          <w:lang w:val="zh-CN"/>
        </w:rPr>
      </w:pPr>
      <w:r>
        <w:rPr>
          <w:rFonts w:ascii="Times New Roman" w:hAnsi="Times New Roman" w:eastAsia="仿宋"/>
          <w:spacing w:val="-10"/>
          <w:sz w:val="32"/>
          <w:szCs w:val="32"/>
        </w:rPr>
        <w:t>2021年新区土储中心基本支出年初预算1,196</w:t>
      </w:r>
      <w:r>
        <w:rPr>
          <w:rFonts w:hint="eastAsia" w:ascii="Times New Roman" w:hAnsi="Times New Roman" w:eastAsia="仿宋"/>
          <w:spacing w:val="-10"/>
          <w:sz w:val="32"/>
          <w:szCs w:val="32"/>
        </w:rPr>
        <w:t>.</w:t>
      </w:r>
      <w:r>
        <w:rPr>
          <w:rFonts w:ascii="Times New Roman" w:hAnsi="Times New Roman" w:eastAsia="仿宋"/>
          <w:spacing w:val="-10"/>
          <w:sz w:val="32"/>
          <w:szCs w:val="32"/>
        </w:rPr>
        <w:t>00万元。年中调减49.00万元，年中调整后基本支出预算为1,147.00万元。2021年实际发生基本支出923.64万元，预算执行率为80.53%。具体情况如下：</w:t>
      </w:r>
    </w:p>
    <w:p>
      <w:pPr>
        <w:spacing w:before="20" w:after="20"/>
        <w:ind w:firstLine="420" w:firstLineChars="200"/>
        <w:jc w:val="right"/>
        <w:rPr>
          <w:rFonts w:ascii="Times New Roman" w:hAnsi="Times New Roman" w:eastAsiaTheme="minorEastAsia"/>
          <w:szCs w:val="21"/>
        </w:rPr>
      </w:pPr>
      <w:r>
        <w:rPr>
          <w:rFonts w:ascii="Times New Roman" w:hAnsi="Times New Roman" w:eastAsiaTheme="minorEastAsia"/>
          <w:szCs w:val="21"/>
        </w:rPr>
        <w:t>金额单位：万元</w:t>
      </w:r>
    </w:p>
    <w:tbl>
      <w:tblPr>
        <w:tblStyle w:val="13"/>
        <w:tblW w:w="50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7"/>
        <w:gridCol w:w="1455"/>
        <w:gridCol w:w="1105"/>
        <w:gridCol w:w="927"/>
        <w:gridCol w:w="1143"/>
        <w:gridCol w:w="1164"/>
        <w:gridCol w:w="1405"/>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blHeader/>
          <w:jc w:val="center"/>
        </w:trPr>
        <w:tc>
          <w:tcPr>
            <w:tcW w:w="517" w:type="dxa"/>
            <w:vAlign w:val="center"/>
          </w:tcPr>
          <w:p>
            <w:pPr>
              <w:widowControl/>
              <w:spacing w:line="240" w:lineRule="exact"/>
              <w:jc w:val="center"/>
              <w:textAlignment w:val="center"/>
              <w:rPr>
                <w:rFonts w:ascii="Times New Roman" w:hAnsi="Times New Roman"/>
                <w:color w:val="000000"/>
                <w:kern w:val="0"/>
                <w:sz w:val="20"/>
                <w:szCs w:val="20"/>
                <w:lang w:val="zh-CN" w:bidi="ar"/>
              </w:rPr>
            </w:pPr>
            <w:r>
              <w:rPr>
                <w:rFonts w:ascii="Times New Roman" w:hAnsi="Times New Roman"/>
                <w:color w:val="000000"/>
                <w:kern w:val="0"/>
                <w:sz w:val="20"/>
                <w:szCs w:val="20"/>
                <w:lang w:bidi="ar"/>
              </w:rPr>
              <w:t>序号</w:t>
            </w:r>
          </w:p>
        </w:tc>
        <w:tc>
          <w:tcPr>
            <w:tcW w:w="1455" w:type="dxa"/>
            <w:vAlign w:val="center"/>
          </w:tcPr>
          <w:p>
            <w:pPr>
              <w:widowControl/>
              <w:spacing w:line="240" w:lineRule="exact"/>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项目内容</w:t>
            </w:r>
          </w:p>
        </w:tc>
        <w:tc>
          <w:tcPr>
            <w:tcW w:w="1105" w:type="dxa"/>
            <w:vAlign w:val="center"/>
          </w:tcPr>
          <w:p>
            <w:pPr>
              <w:widowControl/>
              <w:spacing w:line="240" w:lineRule="exact"/>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年初预算</w:t>
            </w:r>
          </w:p>
        </w:tc>
        <w:tc>
          <w:tcPr>
            <w:tcW w:w="927" w:type="dxa"/>
            <w:vAlign w:val="center"/>
          </w:tcPr>
          <w:p>
            <w:pPr>
              <w:widowControl/>
              <w:spacing w:line="240" w:lineRule="exact"/>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预算调整</w:t>
            </w:r>
          </w:p>
        </w:tc>
        <w:tc>
          <w:tcPr>
            <w:tcW w:w="1143" w:type="dxa"/>
            <w:vAlign w:val="center"/>
          </w:tcPr>
          <w:p>
            <w:pPr>
              <w:widowControl/>
              <w:spacing w:line="240" w:lineRule="exact"/>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调整后预算</w:t>
            </w:r>
          </w:p>
        </w:tc>
        <w:tc>
          <w:tcPr>
            <w:tcW w:w="1164" w:type="dxa"/>
            <w:vAlign w:val="center"/>
          </w:tcPr>
          <w:p>
            <w:pPr>
              <w:widowControl/>
              <w:spacing w:line="240" w:lineRule="exact"/>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实际支出</w:t>
            </w:r>
          </w:p>
        </w:tc>
        <w:tc>
          <w:tcPr>
            <w:tcW w:w="1405" w:type="dxa"/>
            <w:vAlign w:val="center"/>
          </w:tcPr>
          <w:p>
            <w:pPr>
              <w:widowControl/>
              <w:spacing w:line="240" w:lineRule="exact"/>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预算与执行差异（超支“+”，结余“-”）</w:t>
            </w:r>
          </w:p>
        </w:tc>
        <w:tc>
          <w:tcPr>
            <w:tcW w:w="1286" w:type="dxa"/>
            <w:vAlign w:val="center"/>
          </w:tcPr>
          <w:p>
            <w:pPr>
              <w:widowControl/>
              <w:spacing w:line="240" w:lineRule="exact"/>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17" w:type="dxa"/>
            <w:vAlign w:val="center"/>
          </w:tcPr>
          <w:p>
            <w:pPr>
              <w:widowControl/>
              <w:spacing w:line="240" w:lineRule="exact"/>
              <w:jc w:val="center"/>
              <w:textAlignment w:val="center"/>
              <w:rPr>
                <w:rFonts w:ascii="Times New Roman" w:hAnsi="Times New Roman"/>
                <w:color w:val="000000"/>
                <w:kern w:val="0"/>
                <w:sz w:val="20"/>
                <w:szCs w:val="20"/>
                <w:lang w:val="zh-CN" w:bidi="ar"/>
              </w:rPr>
            </w:pPr>
            <w:r>
              <w:rPr>
                <w:rFonts w:ascii="Times New Roman" w:hAnsi="Times New Roman"/>
                <w:color w:val="000000"/>
                <w:kern w:val="0"/>
                <w:sz w:val="20"/>
                <w:szCs w:val="20"/>
                <w:lang w:bidi="ar"/>
              </w:rPr>
              <w:t>1</w:t>
            </w:r>
          </w:p>
        </w:tc>
        <w:tc>
          <w:tcPr>
            <w:tcW w:w="1455" w:type="dxa"/>
            <w:vAlign w:val="center"/>
          </w:tcPr>
          <w:p>
            <w:pPr>
              <w:widowControl/>
              <w:spacing w:line="240" w:lineRule="exact"/>
              <w:jc w:val="left"/>
              <w:textAlignment w:val="center"/>
              <w:rPr>
                <w:rFonts w:ascii="Times New Roman" w:hAnsi="Times New Roman"/>
                <w:color w:val="000000"/>
                <w:kern w:val="0"/>
                <w:sz w:val="20"/>
                <w:szCs w:val="20"/>
                <w:lang w:val="zh-CN" w:bidi="ar"/>
              </w:rPr>
            </w:pPr>
            <w:r>
              <w:rPr>
                <w:rFonts w:ascii="Times New Roman" w:hAnsi="Times New Roman"/>
                <w:color w:val="000000"/>
                <w:kern w:val="0"/>
                <w:sz w:val="20"/>
                <w:szCs w:val="20"/>
                <w:lang w:bidi="ar"/>
              </w:rPr>
              <w:t>人员经费</w:t>
            </w:r>
          </w:p>
        </w:tc>
        <w:tc>
          <w:tcPr>
            <w:tcW w:w="1105" w:type="dxa"/>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 xml:space="preserve">1,097.00 </w:t>
            </w:r>
          </w:p>
        </w:tc>
        <w:tc>
          <w:tcPr>
            <w:tcW w:w="927" w:type="dxa"/>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-23.50</w:t>
            </w:r>
          </w:p>
        </w:tc>
        <w:tc>
          <w:tcPr>
            <w:tcW w:w="1143" w:type="dxa"/>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1,073.50</w:t>
            </w:r>
          </w:p>
        </w:tc>
        <w:tc>
          <w:tcPr>
            <w:tcW w:w="1164" w:type="dxa"/>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853.78</w:t>
            </w:r>
          </w:p>
        </w:tc>
        <w:tc>
          <w:tcPr>
            <w:tcW w:w="1405" w:type="dxa"/>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-219.72</w:t>
            </w:r>
          </w:p>
        </w:tc>
        <w:tc>
          <w:tcPr>
            <w:tcW w:w="1286" w:type="dxa"/>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79.53%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17" w:type="dxa"/>
            <w:vAlign w:val="center"/>
          </w:tcPr>
          <w:p>
            <w:pPr>
              <w:widowControl/>
              <w:spacing w:line="240" w:lineRule="exact"/>
              <w:jc w:val="center"/>
              <w:textAlignment w:val="center"/>
              <w:rPr>
                <w:rFonts w:ascii="Times New Roman" w:hAnsi="Times New Roman"/>
                <w:color w:val="000000"/>
                <w:kern w:val="0"/>
                <w:sz w:val="20"/>
                <w:szCs w:val="20"/>
                <w:lang w:val="zh-CN" w:bidi="ar"/>
              </w:rPr>
            </w:pPr>
            <w:r>
              <w:rPr>
                <w:rFonts w:ascii="Times New Roman" w:hAnsi="Times New Roman"/>
                <w:color w:val="000000"/>
                <w:kern w:val="0"/>
                <w:sz w:val="20"/>
                <w:szCs w:val="20"/>
                <w:lang w:bidi="ar"/>
              </w:rPr>
              <w:t>2</w:t>
            </w:r>
          </w:p>
        </w:tc>
        <w:tc>
          <w:tcPr>
            <w:tcW w:w="1455" w:type="dxa"/>
            <w:vAlign w:val="center"/>
          </w:tcPr>
          <w:p>
            <w:pPr>
              <w:widowControl/>
              <w:spacing w:line="240" w:lineRule="exact"/>
              <w:jc w:val="left"/>
              <w:textAlignment w:val="center"/>
              <w:rPr>
                <w:rFonts w:ascii="Times New Roman" w:hAnsi="Times New Roman"/>
                <w:color w:val="000000"/>
                <w:kern w:val="0"/>
                <w:sz w:val="20"/>
                <w:szCs w:val="20"/>
                <w:lang w:val="zh-CN" w:bidi="ar"/>
              </w:rPr>
            </w:pPr>
            <w:r>
              <w:rPr>
                <w:rFonts w:ascii="Times New Roman" w:hAnsi="Times New Roman"/>
                <w:color w:val="000000"/>
                <w:kern w:val="0"/>
                <w:sz w:val="20"/>
                <w:szCs w:val="20"/>
                <w:lang w:bidi="ar"/>
              </w:rPr>
              <w:t>公用经费</w:t>
            </w:r>
          </w:p>
        </w:tc>
        <w:tc>
          <w:tcPr>
            <w:tcW w:w="1105" w:type="dxa"/>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99.00</w:t>
            </w:r>
          </w:p>
        </w:tc>
        <w:tc>
          <w:tcPr>
            <w:tcW w:w="927" w:type="dxa"/>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-25.50</w:t>
            </w:r>
          </w:p>
        </w:tc>
        <w:tc>
          <w:tcPr>
            <w:tcW w:w="1143" w:type="dxa"/>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73.50</w:t>
            </w:r>
          </w:p>
        </w:tc>
        <w:tc>
          <w:tcPr>
            <w:tcW w:w="1164" w:type="dxa"/>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69.86</w:t>
            </w:r>
          </w:p>
        </w:tc>
        <w:tc>
          <w:tcPr>
            <w:tcW w:w="1405" w:type="dxa"/>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-3.64</w:t>
            </w:r>
          </w:p>
        </w:tc>
        <w:tc>
          <w:tcPr>
            <w:tcW w:w="1286" w:type="dxa"/>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95.05%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1972" w:type="dxa"/>
            <w:gridSpan w:val="2"/>
            <w:vAlign w:val="center"/>
          </w:tcPr>
          <w:p>
            <w:pPr>
              <w:widowControl/>
              <w:spacing w:line="240" w:lineRule="exact"/>
              <w:jc w:val="center"/>
              <w:textAlignment w:val="center"/>
              <w:rPr>
                <w:rFonts w:ascii="Times New Roman" w:hAnsi="Times New Roman"/>
                <w:color w:val="000000"/>
                <w:kern w:val="0"/>
                <w:sz w:val="20"/>
                <w:szCs w:val="20"/>
                <w:lang w:bidi="ar"/>
              </w:rPr>
            </w:pPr>
            <w:r>
              <w:rPr>
                <w:rFonts w:hint="eastAsia" w:ascii="Times New Roman" w:hAnsi="Times New Roman"/>
                <w:color w:val="000000"/>
                <w:kern w:val="0"/>
                <w:sz w:val="20"/>
                <w:szCs w:val="20"/>
                <w:lang w:bidi="ar"/>
              </w:rPr>
              <w:t>合计</w:t>
            </w:r>
          </w:p>
        </w:tc>
        <w:tc>
          <w:tcPr>
            <w:tcW w:w="1105" w:type="dxa"/>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1</w:t>
            </w:r>
            <w:r>
              <w:rPr>
                <w:rFonts w:hint="eastAsia" w:ascii="Times New Roman" w:hAnsi="Times New Roman"/>
                <w:color w:val="000000"/>
                <w:kern w:val="0"/>
                <w:sz w:val="20"/>
                <w:szCs w:val="20"/>
                <w:lang w:bidi="ar"/>
              </w:rPr>
              <w:t>,</w:t>
            </w:r>
            <w:r>
              <w:rPr>
                <w:rFonts w:ascii="Times New Roman" w:hAnsi="Times New Roman"/>
                <w:color w:val="000000"/>
                <w:kern w:val="0"/>
                <w:sz w:val="20"/>
                <w:szCs w:val="20"/>
                <w:lang w:bidi="ar"/>
              </w:rPr>
              <w:t>196.00</w:t>
            </w:r>
          </w:p>
        </w:tc>
        <w:tc>
          <w:tcPr>
            <w:tcW w:w="927" w:type="dxa"/>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-49.00</w:t>
            </w:r>
          </w:p>
        </w:tc>
        <w:tc>
          <w:tcPr>
            <w:tcW w:w="1143" w:type="dxa"/>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1,147.00</w:t>
            </w:r>
          </w:p>
        </w:tc>
        <w:tc>
          <w:tcPr>
            <w:tcW w:w="1164" w:type="dxa"/>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923.64</w:t>
            </w:r>
          </w:p>
        </w:tc>
        <w:tc>
          <w:tcPr>
            <w:tcW w:w="1405" w:type="dxa"/>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-223.36</w:t>
            </w:r>
          </w:p>
        </w:tc>
        <w:tc>
          <w:tcPr>
            <w:tcW w:w="1286" w:type="dxa"/>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80.53%</w:t>
            </w:r>
          </w:p>
        </w:tc>
      </w:tr>
    </w:tbl>
    <w:p>
      <w:pPr>
        <w:adjustRightInd w:val="0"/>
        <w:snapToGrid w:val="0"/>
        <w:spacing w:line="560" w:lineRule="exact"/>
        <w:ind w:firstLine="603" w:firstLineChars="200"/>
        <w:outlineLvl w:val="1"/>
        <w:rPr>
          <w:rFonts w:ascii="Times New Roman" w:hAnsi="Times New Roman" w:eastAsia="楷体_GB2312"/>
          <w:b/>
          <w:bCs/>
          <w:spacing w:val="-10"/>
          <w:sz w:val="32"/>
          <w:szCs w:val="32"/>
          <w:lang w:val="zh-CN"/>
        </w:rPr>
      </w:pPr>
      <w:r>
        <w:rPr>
          <w:rFonts w:ascii="Times New Roman" w:hAnsi="Times New Roman" w:eastAsia="楷体_GB2312"/>
          <w:b/>
          <w:bCs/>
          <w:spacing w:val="-10"/>
          <w:sz w:val="32"/>
          <w:szCs w:val="32"/>
        </w:rPr>
        <w:t>（二）</w:t>
      </w:r>
      <w:r>
        <w:rPr>
          <w:rFonts w:ascii="Times New Roman" w:hAnsi="Times New Roman" w:eastAsia="楷体_GB2312"/>
          <w:b/>
          <w:bCs/>
          <w:spacing w:val="-10"/>
          <w:sz w:val="32"/>
          <w:szCs w:val="32"/>
          <w:lang w:val="zh-CN"/>
        </w:rPr>
        <w:t>“三公经费”支出使用和管理情况</w:t>
      </w:r>
    </w:p>
    <w:p>
      <w:pPr>
        <w:adjustRightInd w:val="0"/>
        <w:snapToGrid w:val="0"/>
        <w:spacing w:line="560" w:lineRule="exact"/>
        <w:ind w:left="420" w:leftChars="200"/>
        <w:outlineLvl w:val="0"/>
        <w:rPr>
          <w:rFonts w:ascii="Times New Roman" w:hAnsi="Times New Roman" w:eastAsia="仿宋"/>
          <w:spacing w:val="-10"/>
          <w:sz w:val="32"/>
          <w:szCs w:val="32"/>
        </w:rPr>
      </w:pPr>
      <w:r>
        <w:rPr>
          <w:rFonts w:ascii="Times New Roman" w:hAnsi="Times New Roman" w:eastAsia="仿宋"/>
          <w:spacing w:val="-10"/>
          <w:sz w:val="32"/>
          <w:szCs w:val="32"/>
        </w:rPr>
        <w:t>1. 2021年“三公经费”支出情况</w:t>
      </w:r>
    </w:p>
    <w:p>
      <w:pPr>
        <w:spacing w:before="20" w:after="20"/>
        <w:ind w:firstLine="420" w:firstLineChars="200"/>
        <w:jc w:val="right"/>
        <w:rPr>
          <w:rFonts w:ascii="Times New Roman" w:hAnsi="Times New Roman" w:eastAsiaTheme="minorEastAsia"/>
          <w:szCs w:val="21"/>
        </w:rPr>
      </w:pPr>
      <w:r>
        <w:rPr>
          <w:rFonts w:ascii="Times New Roman" w:hAnsi="Times New Roman" w:eastAsiaTheme="minorEastAsia"/>
          <w:szCs w:val="21"/>
        </w:rPr>
        <w:t>金额单位：万元</w:t>
      </w:r>
    </w:p>
    <w:tbl>
      <w:tblPr>
        <w:tblStyle w:val="13"/>
        <w:tblW w:w="8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1"/>
        <w:gridCol w:w="1714"/>
        <w:gridCol w:w="1933"/>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jc w:val="center"/>
        </w:trPr>
        <w:tc>
          <w:tcPr>
            <w:tcW w:w="2791" w:type="dxa"/>
            <w:vAlign w:val="center"/>
          </w:tcPr>
          <w:p>
            <w:pPr>
              <w:spacing w:before="20" w:after="20"/>
              <w:ind w:firstLine="400" w:firstLineChars="200"/>
              <w:jc w:val="center"/>
              <w:rPr>
                <w:rFonts w:ascii="Times New Roman" w:hAnsi="Times New Roman" w:eastAsiaTheme="minorEastAsia"/>
                <w:sz w:val="20"/>
                <w:szCs w:val="20"/>
              </w:rPr>
            </w:pPr>
            <w:r>
              <w:rPr>
                <w:rFonts w:ascii="Times New Roman" w:hAnsi="Times New Roman" w:eastAsiaTheme="minorEastAsia"/>
                <w:sz w:val="20"/>
                <w:szCs w:val="20"/>
              </w:rPr>
              <w:t>项目内容</w:t>
            </w:r>
          </w:p>
        </w:tc>
        <w:tc>
          <w:tcPr>
            <w:tcW w:w="1714" w:type="dxa"/>
            <w:tcBorders>
              <w:bottom w:val="single" w:color="auto" w:sz="4" w:space="0"/>
            </w:tcBorders>
            <w:vAlign w:val="center"/>
          </w:tcPr>
          <w:p>
            <w:pPr>
              <w:spacing w:before="20" w:after="20"/>
              <w:rPr>
                <w:rFonts w:ascii="Times New Roman" w:hAnsi="Times New Roman" w:eastAsiaTheme="minorEastAsia"/>
                <w:sz w:val="20"/>
                <w:szCs w:val="20"/>
              </w:rPr>
            </w:pPr>
            <w:r>
              <w:rPr>
                <w:rFonts w:ascii="Times New Roman" w:hAnsi="Times New Roman" w:eastAsiaTheme="minorEastAsia"/>
                <w:sz w:val="20"/>
                <w:szCs w:val="20"/>
              </w:rPr>
              <w:t>本年预算金额</w:t>
            </w:r>
          </w:p>
        </w:tc>
        <w:tc>
          <w:tcPr>
            <w:tcW w:w="1933" w:type="dxa"/>
            <w:tcBorders>
              <w:bottom w:val="single" w:color="auto" w:sz="4" w:space="0"/>
            </w:tcBorders>
            <w:vAlign w:val="center"/>
          </w:tcPr>
          <w:p>
            <w:pPr>
              <w:spacing w:before="20" w:after="20"/>
              <w:ind w:firstLine="400" w:firstLineChars="200"/>
              <w:jc w:val="center"/>
              <w:rPr>
                <w:rFonts w:ascii="Times New Roman" w:hAnsi="Times New Roman" w:eastAsiaTheme="minorEastAsia"/>
                <w:sz w:val="20"/>
                <w:szCs w:val="20"/>
              </w:rPr>
            </w:pPr>
            <w:r>
              <w:rPr>
                <w:rFonts w:ascii="Times New Roman" w:hAnsi="Times New Roman" w:eastAsiaTheme="minorEastAsia"/>
                <w:sz w:val="20"/>
                <w:szCs w:val="20"/>
              </w:rPr>
              <w:t>本年决算金额</w:t>
            </w:r>
          </w:p>
        </w:tc>
        <w:tc>
          <w:tcPr>
            <w:tcW w:w="2173" w:type="dxa"/>
            <w:tcBorders>
              <w:bottom w:val="single" w:color="auto" w:sz="4" w:space="0"/>
            </w:tcBorders>
            <w:vAlign w:val="center"/>
          </w:tcPr>
          <w:p>
            <w:pPr>
              <w:spacing w:before="20" w:after="20"/>
              <w:rPr>
                <w:rFonts w:ascii="Times New Roman" w:hAnsi="Times New Roman" w:eastAsiaTheme="minorEastAsia"/>
                <w:sz w:val="20"/>
                <w:szCs w:val="20"/>
              </w:rPr>
            </w:pPr>
            <w:r>
              <w:rPr>
                <w:rFonts w:ascii="Times New Roman" w:hAnsi="Times New Roman" w:eastAsiaTheme="minorEastAsia"/>
                <w:sz w:val="20"/>
                <w:szCs w:val="20"/>
              </w:rPr>
              <w:t>结余“-”、/超支“+”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91" w:type="dxa"/>
            <w:shd w:val="clear" w:color="auto" w:fill="auto"/>
            <w:vAlign w:val="center"/>
          </w:tcPr>
          <w:p>
            <w:pPr>
              <w:spacing w:before="20" w:after="20"/>
              <w:rPr>
                <w:rFonts w:ascii="Times New Roman" w:hAnsi="Times New Roman" w:eastAsiaTheme="minorEastAsia"/>
                <w:sz w:val="20"/>
                <w:szCs w:val="20"/>
              </w:rPr>
            </w:pPr>
            <w:r>
              <w:rPr>
                <w:rFonts w:ascii="Times New Roman" w:hAnsi="Times New Roman" w:eastAsiaTheme="minorEastAsia"/>
                <w:sz w:val="20"/>
                <w:szCs w:val="20"/>
              </w:rPr>
              <w:t>公务用车购置及运行维护费</w:t>
            </w:r>
          </w:p>
        </w:tc>
        <w:tc>
          <w:tcPr>
            <w:tcW w:w="1714" w:type="dxa"/>
            <w:tcBorders>
              <w:bottom w:val="single" w:color="auto" w:sz="4" w:space="0"/>
            </w:tcBorders>
            <w:shd w:val="clear" w:color="auto" w:fill="auto"/>
            <w:vAlign w:val="center"/>
          </w:tcPr>
          <w:p>
            <w:pPr>
              <w:spacing w:before="20" w:after="20"/>
              <w:ind w:firstLine="400" w:firstLineChars="200"/>
              <w:jc w:val="right"/>
              <w:rPr>
                <w:rFonts w:ascii="Times New Roman" w:hAnsi="Times New Roman" w:eastAsiaTheme="minorEastAsia"/>
                <w:sz w:val="20"/>
                <w:szCs w:val="20"/>
              </w:rPr>
            </w:pPr>
            <w:r>
              <w:rPr>
                <w:rFonts w:ascii="Times New Roman" w:hAnsi="Times New Roman" w:eastAsiaTheme="minorEastAsia"/>
                <w:sz w:val="20"/>
                <w:szCs w:val="20"/>
              </w:rPr>
              <w:t>7.00</w:t>
            </w:r>
          </w:p>
        </w:tc>
        <w:tc>
          <w:tcPr>
            <w:tcW w:w="1933" w:type="dxa"/>
            <w:tcBorders>
              <w:bottom w:val="single" w:color="auto" w:sz="4" w:space="0"/>
            </w:tcBorders>
            <w:vAlign w:val="center"/>
          </w:tcPr>
          <w:p>
            <w:pPr>
              <w:spacing w:before="20" w:after="20"/>
              <w:ind w:firstLine="400" w:firstLineChars="200"/>
              <w:jc w:val="right"/>
              <w:rPr>
                <w:rFonts w:ascii="Times New Roman" w:hAnsi="Times New Roman" w:eastAsiaTheme="minorEastAsia"/>
                <w:sz w:val="20"/>
                <w:szCs w:val="20"/>
              </w:rPr>
            </w:pPr>
            <w:r>
              <w:rPr>
                <w:rFonts w:ascii="Times New Roman" w:hAnsi="Times New Roman" w:eastAsiaTheme="minorEastAsia"/>
                <w:sz w:val="20"/>
                <w:szCs w:val="20"/>
              </w:rPr>
              <w:t xml:space="preserve">5.12 </w:t>
            </w:r>
          </w:p>
        </w:tc>
        <w:tc>
          <w:tcPr>
            <w:tcW w:w="2173" w:type="dxa"/>
            <w:tcBorders>
              <w:bottom w:val="single" w:color="auto" w:sz="4" w:space="0"/>
            </w:tcBorders>
            <w:vAlign w:val="center"/>
          </w:tcPr>
          <w:p>
            <w:pPr>
              <w:spacing w:before="20" w:after="20"/>
              <w:ind w:firstLine="400" w:firstLineChars="200"/>
              <w:jc w:val="right"/>
              <w:rPr>
                <w:rFonts w:ascii="Times New Roman" w:hAnsi="Times New Roman" w:eastAsiaTheme="minorEastAsia"/>
                <w:sz w:val="20"/>
                <w:szCs w:val="20"/>
              </w:rPr>
            </w:pPr>
            <w:r>
              <w:rPr>
                <w:rFonts w:ascii="Times New Roman" w:hAnsi="Times New Roman" w:eastAsiaTheme="minorEastAsia"/>
                <w:sz w:val="20"/>
                <w:szCs w:val="20"/>
              </w:rPr>
              <w:t xml:space="preserve">-1.88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91" w:type="dxa"/>
            <w:shd w:val="clear" w:color="auto" w:fill="auto"/>
            <w:vAlign w:val="center"/>
          </w:tcPr>
          <w:p>
            <w:pPr>
              <w:spacing w:before="20" w:after="20"/>
              <w:rPr>
                <w:rFonts w:ascii="Times New Roman" w:hAnsi="Times New Roman" w:eastAsiaTheme="minorEastAsia"/>
                <w:sz w:val="20"/>
                <w:szCs w:val="20"/>
              </w:rPr>
            </w:pPr>
            <w:r>
              <w:rPr>
                <w:rFonts w:ascii="Times New Roman" w:hAnsi="Times New Roman" w:eastAsiaTheme="minorEastAsia"/>
                <w:sz w:val="20"/>
                <w:szCs w:val="20"/>
              </w:rPr>
              <w:t>因公出国（境）费</w:t>
            </w:r>
          </w:p>
        </w:tc>
        <w:tc>
          <w:tcPr>
            <w:tcW w:w="1714" w:type="dxa"/>
            <w:shd w:val="clear" w:color="auto" w:fill="auto"/>
            <w:vAlign w:val="center"/>
          </w:tcPr>
          <w:p>
            <w:pPr>
              <w:spacing w:before="20" w:after="20"/>
              <w:ind w:firstLine="400" w:firstLineChars="200"/>
              <w:jc w:val="right"/>
              <w:rPr>
                <w:rFonts w:ascii="Times New Roman" w:hAnsi="Times New Roman" w:eastAsiaTheme="minorEastAsia"/>
                <w:sz w:val="20"/>
                <w:szCs w:val="20"/>
              </w:rPr>
            </w:pPr>
            <w:r>
              <w:rPr>
                <w:rFonts w:ascii="Times New Roman" w:hAnsi="Times New Roman" w:eastAsiaTheme="minorEastAsia"/>
                <w:sz w:val="20"/>
                <w:szCs w:val="20"/>
              </w:rPr>
              <w:t xml:space="preserve">- </w:t>
            </w:r>
          </w:p>
        </w:tc>
        <w:tc>
          <w:tcPr>
            <w:tcW w:w="1933" w:type="dxa"/>
            <w:vAlign w:val="center"/>
          </w:tcPr>
          <w:p>
            <w:pPr>
              <w:spacing w:before="20" w:after="20"/>
              <w:ind w:firstLine="400" w:firstLineChars="200"/>
              <w:jc w:val="right"/>
              <w:rPr>
                <w:rFonts w:ascii="Times New Roman" w:hAnsi="Times New Roman" w:eastAsiaTheme="minorEastAsia"/>
                <w:sz w:val="20"/>
                <w:szCs w:val="20"/>
              </w:rPr>
            </w:pPr>
            <w:r>
              <w:rPr>
                <w:rFonts w:ascii="Times New Roman" w:hAnsi="Times New Roman" w:eastAsiaTheme="minorEastAsia"/>
                <w:sz w:val="20"/>
                <w:szCs w:val="20"/>
              </w:rPr>
              <w:t>-</w:t>
            </w:r>
          </w:p>
        </w:tc>
        <w:tc>
          <w:tcPr>
            <w:tcW w:w="2173" w:type="dxa"/>
            <w:vAlign w:val="center"/>
          </w:tcPr>
          <w:p>
            <w:pPr>
              <w:spacing w:before="20" w:after="20"/>
              <w:ind w:firstLine="400" w:firstLineChars="200"/>
              <w:jc w:val="right"/>
              <w:rPr>
                <w:rFonts w:ascii="Times New Roman" w:hAnsi="Times New Roman" w:eastAsiaTheme="minorEastAsia"/>
                <w:sz w:val="20"/>
                <w:szCs w:val="20"/>
              </w:rPr>
            </w:pPr>
            <w:r>
              <w:rPr>
                <w:rFonts w:ascii="Times New Roman" w:hAnsi="Times New Roman" w:eastAsiaTheme="minorEastAsia"/>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91" w:type="dxa"/>
            <w:shd w:val="clear" w:color="auto" w:fill="auto"/>
            <w:vAlign w:val="center"/>
          </w:tcPr>
          <w:p>
            <w:pPr>
              <w:spacing w:before="20" w:after="20"/>
              <w:rPr>
                <w:rFonts w:ascii="Times New Roman" w:hAnsi="Times New Roman" w:eastAsiaTheme="minorEastAsia"/>
                <w:sz w:val="20"/>
                <w:szCs w:val="20"/>
              </w:rPr>
            </w:pPr>
            <w:r>
              <w:rPr>
                <w:rFonts w:ascii="Times New Roman" w:hAnsi="Times New Roman" w:eastAsiaTheme="minorEastAsia"/>
                <w:sz w:val="20"/>
                <w:szCs w:val="20"/>
              </w:rPr>
              <w:t>公务接待费</w:t>
            </w:r>
          </w:p>
        </w:tc>
        <w:tc>
          <w:tcPr>
            <w:tcW w:w="1714" w:type="dxa"/>
            <w:shd w:val="clear" w:color="auto" w:fill="auto"/>
            <w:vAlign w:val="center"/>
          </w:tcPr>
          <w:p>
            <w:pPr>
              <w:spacing w:before="20" w:after="20"/>
              <w:ind w:firstLine="400" w:firstLineChars="200"/>
              <w:jc w:val="right"/>
              <w:rPr>
                <w:rFonts w:ascii="Times New Roman" w:hAnsi="Times New Roman" w:eastAsiaTheme="minorEastAsia"/>
                <w:sz w:val="20"/>
                <w:szCs w:val="20"/>
              </w:rPr>
            </w:pPr>
            <w:r>
              <w:rPr>
                <w:rFonts w:ascii="Times New Roman" w:hAnsi="Times New Roman" w:eastAsiaTheme="minorEastAsia"/>
                <w:sz w:val="20"/>
                <w:szCs w:val="20"/>
              </w:rPr>
              <w:t xml:space="preserve">5.00 </w:t>
            </w:r>
          </w:p>
        </w:tc>
        <w:tc>
          <w:tcPr>
            <w:tcW w:w="1933" w:type="dxa"/>
            <w:vAlign w:val="center"/>
          </w:tcPr>
          <w:p>
            <w:pPr>
              <w:spacing w:before="20" w:after="20"/>
              <w:ind w:firstLine="400" w:firstLineChars="200"/>
              <w:jc w:val="right"/>
              <w:rPr>
                <w:rFonts w:ascii="Times New Roman" w:hAnsi="Times New Roman" w:eastAsiaTheme="minorEastAsia"/>
                <w:sz w:val="20"/>
                <w:szCs w:val="20"/>
              </w:rPr>
            </w:pPr>
            <w:r>
              <w:rPr>
                <w:rFonts w:ascii="Times New Roman" w:hAnsi="Times New Roman" w:eastAsiaTheme="minorEastAsia"/>
                <w:sz w:val="20"/>
                <w:szCs w:val="20"/>
              </w:rPr>
              <w:t xml:space="preserve">0.00 </w:t>
            </w:r>
          </w:p>
        </w:tc>
        <w:tc>
          <w:tcPr>
            <w:tcW w:w="2173" w:type="dxa"/>
            <w:vAlign w:val="center"/>
          </w:tcPr>
          <w:p>
            <w:pPr>
              <w:spacing w:before="20" w:after="20"/>
              <w:ind w:firstLine="400" w:firstLineChars="200"/>
              <w:jc w:val="right"/>
              <w:rPr>
                <w:rFonts w:ascii="Times New Roman" w:hAnsi="Times New Roman" w:eastAsiaTheme="minorEastAsia"/>
                <w:sz w:val="20"/>
                <w:szCs w:val="20"/>
              </w:rPr>
            </w:pPr>
            <w:r>
              <w:rPr>
                <w:rFonts w:hint="eastAsia" w:ascii="Times New Roman" w:hAnsi="Times New Roman" w:eastAsiaTheme="minorEastAsia"/>
                <w:sz w:val="20"/>
                <w:szCs w:val="20"/>
              </w:rPr>
              <w:t>-5</w:t>
            </w:r>
            <w:r>
              <w:rPr>
                <w:rFonts w:ascii="Times New Roman" w:hAnsi="Times New Roman" w:eastAsiaTheme="minorEastAsia"/>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791" w:type="dxa"/>
            <w:shd w:val="clear" w:color="auto" w:fill="auto"/>
            <w:vAlign w:val="center"/>
          </w:tcPr>
          <w:p>
            <w:pPr>
              <w:spacing w:before="20" w:after="20"/>
              <w:ind w:firstLine="400" w:firstLineChars="200"/>
              <w:jc w:val="center"/>
              <w:rPr>
                <w:rFonts w:ascii="Times New Roman" w:hAnsi="Times New Roman" w:eastAsiaTheme="minorEastAsia"/>
                <w:sz w:val="20"/>
                <w:szCs w:val="20"/>
              </w:rPr>
            </w:pPr>
            <w:r>
              <w:rPr>
                <w:rFonts w:ascii="Times New Roman" w:hAnsi="Times New Roman" w:eastAsiaTheme="minorEastAsia"/>
                <w:sz w:val="20"/>
                <w:szCs w:val="20"/>
              </w:rPr>
              <w:t>合计</w:t>
            </w:r>
          </w:p>
        </w:tc>
        <w:tc>
          <w:tcPr>
            <w:tcW w:w="1714" w:type="dxa"/>
            <w:tcBorders>
              <w:bottom w:val="single" w:color="auto" w:sz="4" w:space="0"/>
            </w:tcBorders>
            <w:shd w:val="clear" w:color="auto" w:fill="auto"/>
            <w:vAlign w:val="center"/>
          </w:tcPr>
          <w:p>
            <w:pPr>
              <w:spacing w:before="20" w:after="20"/>
              <w:ind w:firstLine="400" w:firstLineChars="200"/>
              <w:jc w:val="right"/>
              <w:rPr>
                <w:rFonts w:ascii="Times New Roman" w:hAnsi="Times New Roman" w:eastAsiaTheme="minorEastAsia"/>
                <w:sz w:val="20"/>
                <w:szCs w:val="20"/>
              </w:rPr>
            </w:pPr>
            <w:r>
              <w:rPr>
                <w:rFonts w:ascii="Times New Roman" w:hAnsi="Times New Roman" w:eastAsiaTheme="minorEastAsia"/>
                <w:sz w:val="20"/>
                <w:szCs w:val="20"/>
              </w:rPr>
              <w:t xml:space="preserve">12.00 </w:t>
            </w:r>
          </w:p>
        </w:tc>
        <w:tc>
          <w:tcPr>
            <w:tcW w:w="1933" w:type="dxa"/>
            <w:tcBorders>
              <w:bottom w:val="single" w:color="auto" w:sz="4" w:space="0"/>
            </w:tcBorders>
            <w:vAlign w:val="center"/>
          </w:tcPr>
          <w:p>
            <w:pPr>
              <w:spacing w:before="20" w:after="20"/>
              <w:ind w:firstLine="400" w:firstLineChars="200"/>
              <w:jc w:val="right"/>
              <w:rPr>
                <w:rFonts w:ascii="Times New Roman" w:hAnsi="Times New Roman" w:eastAsiaTheme="minorEastAsia"/>
                <w:sz w:val="20"/>
                <w:szCs w:val="20"/>
              </w:rPr>
            </w:pPr>
            <w:r>
              <w:rPr>
                <w:rFonts w:ascii="Times New Roman" w:hAnsi="Times New Roman" w:eastAsiaTheme="minorEastAsia"/>
                <w:sz w:val="20"/>
                <w:szCs w:val="20"/>
              </w:rPr>
              <w:t xml:space="preserve">5.12 </w:t>
            </w:r>
          </w:p>
        </w:tc>
        <w:tc>
          <w:tcPr>
            <w:tcW w:w="2173" w:type="dxa"/>
            <w:tcBorders>
              <w:bottom w:val="single" w:color="auto" w:sz="4" w:space="0"/>
            </w:tcBorders>
            <w:vAlign w:val="center"/>
          </w:tcPr>
          <w:p>
            <w:pPr>
              <w:spacing w:before="20" w:after="20"/>
              <w:ind w:firstLine="400" w:firstLineChars="200"/>
              <w:jc w:val="right"/>
              <w:rPr>
                <w:rFonts w:ascii="Times New Roman" w:hAnsi="Times New Roman" w:eastAsiaTheme="minorEastAsia"/>
                <w:sz w:val="20"/>
                <w:szCs w:val="20"/>
              </w:rPr>
            </w:pPr>
            <w:r>
              <w:rPr>
                <w:rFonts w:ascii="Times New Roman" w:hAnsi="Times New Roman" w:eastAsiaTheme="minorEastAsia"/>
                <w:sz w:val="20"/>
                <w:szCs w:val="20"/>
              </w:rPr>
              <w:t>-</w:t>
            </w:r>
            <w:r>
              <w:rPr>
                <w:rFonts w:hint="eastAsia" w:ascii="Times New Roman" w:hAnsi="Times New Roman" w:eastAsiaTheme="minorEastAsia"/>
                <w:sz w:val="20"/>
                <w:szCs w:val="20"/>
              </w:rPr>
              <w:t>6</w:t>
            </w:r>
            <w:r>
              <w:rPr>
                <w:rFonts w:ascii="Times New Roman" w:hAnsi="Times New Roman" w:eastAsiaTheme="minorEastAsia"/>
                <w:sz w:val="20"/>
                <w:szCs w:val="20"/>
              </w:rPr>
              <w:t xml:space="preserve">.88 </w:t>
            </w:r>
          </w:p>
        </w:tc>
      </w:tr>
    </w:tbl>
    <w:p>
      <w:pPr>
        <w:spacing w:line="560" w:lineRule="exact"/>
        <w:ind w:firstLine="600" w:firstLineChars="200"/>
        <w:rPr>
          <w:rFonts w:ascii="Times New Roman" w:hAnsi="Times New Roman" w:eastAsia="仿宋"/>
          <w:spacing w:val="-10"/>
          <w:sz w:val="32"/>
          <w:szCs w:val="32"/>
        </w:rPr>
      </w:pPr>
      <w:r>
        <w:rPr>
          <w:rFonts w:ascii="Times New Roman" w:hAnsi="Times New Roman" w:eastAsia="仿宋"/>
          <w:spacing w:val="-10"/>
          <w:sz w:val="32"/>
          <w:szCs w:val="32"/>
        </w:rPr>
        <w:t>从上表分析，2021年三公经费年初预算支出12.00万元，决算支出5.12万元，较预算结余6.88万元，三公经费总额及分项均控制在预算范围内。</w:t>
      </w:r>
    </w:p>
    <w:p>
      <w:pPr>
        <w:spacing w:line="560" w:lineRule="exact"/>
        <w:ind w:firstLine="600" w:firstLineChars="200"/>
        <w:rPr>
          <w:rFonts w:ascii="仿宋" w:hAnsi="仿宋" w:eastAsia="仿宋" w:cs="仿宋"/>
          <w:sz w:val="32"/>
          <w:szCs w:val="32"/>
        </w:rPr>
      </w:pPr>
      <w:r>
        <w:rPr>
          <w:rFonts w:ascii="Times New Roman" w:hAnsi="Times New Roman" w:eastAsia="仿宋"/>
          <w:spacing w:val="-10"/>
          <w:sz w:val="32"/>
          <w:szCs w:val="32"/>
        </w:rPr>
        <w:t>2.与上年度比较</w:t>
      </w:r>
      <w:r>
        <w:rPr>
          <w:rFonts w:hint="eastAsia" w:ascii="仿宋" w:hAnsi="仿宋" w:eastAsia="仿宋" w:cs="仿宋"/>
          <w:spacing w:val="-10"/>
          <w:sz w:val="32"/>
          <w:szCs w:val="32"/>
        </w:rPr>
        <w:t>“三公经费”控制情况</w:t>
      </w:r>
    </w:p>
    <w:p>
      <w:pPr>
        <w:spacing w:before="20" w:after="20"/>
        <w:ind w:firstLine="420" w:firstLineChars="200"/>
        <w:jc w:val="right"/>
        <w:rPr>
          <w:rFonts w:ascii="Times New Roman" w:hAnsi="Times New Roman" w:eastAsiaTheme="minorEastAsia"/>
          <w:szCs w:val="21"/>
        </w:rPr>
      </w:pPr>
      <w:r>
        <w:rPr>
          <w:rFonts w:ascii="Times New Roman" w:hAnsi="Times New Roman" w:eastAsiaTheme="minorEastAsia"/>
          <w:szCs w:val="21"/>
        </w:rPr>
        <w:t>金额单位：万元</w:t>
      </w:r>
    </w:p>
    <w:tbl>
      <w:tblPr>
        <w:tblStyle w:val="13"/>
        <w:tblW w:w="8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6"/>
        <w:gridCol w:w="1523"/>
        <w:gridCol w:w="1717"/>
        <w:gridCol w:w="1302"/>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jc w:val="center"/>
        </w:trPr>
        <w:tc>
          <w:tcPr>
            <w:tcW w:w="2856" w:type="dxa"/>
            <w:vAlign w:val="center"/>
          </w:tcPr>
          <w:p>
            <w:pPr>
              <w:widowControl/>
              <w:jc w:val="center"/>
              <w:textAlignment w:val="center"/>
              <w:rPr>
                <w:rFonts w:ascii="Times New Roman" w:hAnsi="Times New Roman" w:eastAsiaTheme="minorEastAsia"/>
                <w:sz w:val="20"/>
                <w:szCs w:val="20"/>
              </w:rPr>
            </w:pPr>
            <w:r>
              <w:rPr>
                <w:rFonts w:ascii="Times New Roman" w:hAnsi="Times New Roman"/>
                <w:kern w:val="0"/>
                <w:sz w:val="20"/>
                <w:szCs w:val="20"/>
                <w:lang w:bidi="ar"/>
              </w:rPr>
              <w:t>项目内容</w:t>
            </w:r>
          </w:p>
        </w:tc>
        <w:tc>
          <w:tcPr>
            <w:tcW w:w="1523" w:type="dxa"/>
            <w:tcBorders>
              <w:bottom w:val="single" w:color="auto" w:sz="4" w:space="0"/>
            </w:tcBorders>
            <w:vAlign w:val="center"/>
          </w:tcPr>
          <w:p>
            <w:pPr>
              <w:widowControl/>
              <w:jc w:val="center"/>
              <w:textAlignment w:val="center"/>
              <w:rPr>
                <w:rFonts w:ascii="Times New Roman" w:hAnsi="Times New Roman" w:eastAsiaTheme="minorEastAsia"/>
                <w:sz w:val="20"/>
                <w:szCs w:val="20"/>
              </w:rPr>
            </w:pPr>
            <w:r>
              <w:rPr>
                <w:rFonts w:ascii="Times New Roman" w:hAnsi="Times New Roman"/>
                <w:kern w:val="0"/>
                <w:sz w:val="20"/>
                <w:szCs w:val="20"/>
                <w:lang w:bidi="ar"/>
              </w:rPr>
              <w:t>本年决算金额</w:t>
            </w:r>
          </w:p>
        </w:tc>
        <w:tc>
          <w:tcPr>
            <w:tcW w:w="1717" w:type="dxa"/>
            <w:tcBorders>
              <w:bottom w:val="single" w:color="auto" w:sz="4" w:space="0"/>
            </w:tcBorders>
            <w:vAlign w:val="center"/>
          </w:tcPr>
          <w:p>
            <w:pPr>
              <w:widowControl/>
              <w:jc w:val="center"/>
              <w:textAlignment w:val="center"/>
              <w:rPr>
                <w:rFonts w:ascii="Times New Roman" w:hAnsi="Times New Roman" w:eastAsiaTheme="minorEastAsia"/>
                <w:sz w:val="20"/>
                <w:szCs w:val="20"/>
              </w:rPr>
            </w:pPr>
            <w:r>
              <w:rPr>
                <w:rFonts w:ascii="Times New Roman" w:hAnsi="Times New Roman"/>
                <w:kern w:val="0"/>
                <w:sz w:val="20"/>
                <w:szCs w:val="20"/>
                <w:lang w:bidi="ar"/>
              </w:rPr>
              <w:t>上年决算金额</w:t>
            </w:r>
          </w:p>
        </w:tc>
        <w:tc>
          <w:tcPr>
            <w:tcW w:w="1302" w:type="dxa"/>
            <w:tcBorders>
              <w:bottom w:val="single" w:color="auto" w:sz="4" w:space="0"/>
            </w:tcBorders>
            <w:vAlign w:val="center"/>
          </w:tcPr>
          <w:p>
            <w:pPr>
              <w:widowControl/>
              <w:jc w:val="center"/>
              <w:textAlignment w:val="center"/>
              <w:rPr>
                <w:rFonts w:ascii="Times New Roman" w:hAnsi="Times New Roman" w:eastAsiaTheme="minorEastAsia"/>
                <w:sz w:val="20"/>
                <w:szCs w:val="20"/>
              </w:rPr>
            </w:pPr>
            <w:r>
              <w:rPr>
                <w:rFonts w:ascii="Times New Roman" w:hAnsi="Times New Roman"/>
                <w:kern w:val="0"/>
                <w:sz w:val="20"/>
                <w:szCs w:val="20"/>
                <w:lang w:bidi="ar"/>
              </w:rPr>
              <w:t>增减额</w:t>
            </w:r>
          </w:p>
        </w:tc>
        <w:tc>
          <w:tcPr>
            <w:tcW w:w="1368" w:type="dxa"/>
            <w:tcBorders>
              <w:bottom w:val="single" w:color="auto" w:sz="4" w:space="0"/>
            </w:tcBorders>
            <w:vAlign w:val="center"/>
          </w:tcPr>
          <w:p>
            <w:pPr>
              <w:widowControl/>
              <w:jc w:val="center"/>
              <w:textAlignment w:val="center"/>
              <w:rPr>
                <w:rFonts w:ascii="Times New Roman" w:hAnsi="Times New Roman" w:eastAsiaTheme="minorEastAsia"/>
                <w:sz w:val="20"/>
                <w:szCs w:val="20"/>
              </w:rPr>
            </w:pPr>
            <w:r>
              <w:rPr>
                <w:rFonts w:ascii="Times New Roman" w:hAnsi="Times New Roman"/>
                <w:kern w:val="0"/>
                <w:sz w:val="20"/>
                <w:szCs w:val="20"/>
                <w:lang w:bidi="ar"/>
              </w:rPr>
              <w:t>增减率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856" w:type="dxa"/>
            <w:shd w:val="clear" w:color="auto" w:fill="auto"/>
            <w:vAlign w:val="center"/>
          </w:tcPr>
          <w:p>
            <w:pPr>
              <w:widowControl/>
              <w:jc w:val="left"/>
              <w:textAlignment w:val="center"/>
              <w:rPr>
                <w:rFonts w:ascii="Times New Roman" w:hAnsi="Times New Roman" w:eastAsiaTheme="minorEastAsia"/>
                <w:sz w:val="20"/>
                <w:szCs w:val="20"/>
              </w:rPr>
            </w:pPr>
            <w:r>
              <w:rPr>
                <w:rFonts w:ascii="Times New Roman" w:hAnsi="Times New Roman"/>
                <w:kern w:val="0"/>
                <w:sz w:val="20"/>
                <w:szCs w:val="20"/>
                <w:lang w:bidi="ar"/>
              </w:rPr>
              <w:t>公务用车购置及运行维护费</w:t>
            </w:r>
          </w:p>
        </w:tc>
        <w:tc>
          <w:tcPr>
            <w:tcW w:w="1523" w:type="dxa"/>
            <w:tcBorders>
              <w:bottom w:val="single" w:color="auto" w:sz="4" w:space="0"/>
            </w:tcBorders>
            <w:shd w:val="clear" w:color="auto" w:fill="auto"/>
            <w:vAlign w:val="center"/>
          </w:tcPr>
          <w:p>
            <w:pPr>
              <w:widowControl/>
              <w:jc w:val="right"/>
              <w:textAlignment w:val="center"/>
              <w:rPr>
                <w:rFonts w:ascii="Times New Roman" w:hAnsi="Times New Roman" w:eastAsiaTheme="minorEastAsia"/>
                <w:bCs/>
                <w:sz w:val="20"/>
                <w:szCs w:val="20"/>
              </w:rPr>
            </w:pPr>
            <w:r>
              <w:rPr>
                <w:rFonts w:ascii="Times New Roman" w:hAnsi="Times New Roman"/>
                <w:kern w:val="0"/>
                <w:sz w:val="20"/>
                <w:szCs w:val="20"/>
                <w:lang w:bidi="ar"/>
              </w:rPr>
              <w:t>5.12</w:t>
            </w:r>
          </w:p>
        </w:tc>
        <w:tc>
          <w:tcPr>
            <w:tcW w:w="1717" w:type="dxa"/>
            <w:tcBorders>
              <w:bottom w:val="single" w:color="auto" w:sz="4" w:space="0"/>
            </w:tcBorders>
            <w:vAlign w:val="center"/>
          </w:tcPr>
          <w:p>
            <w:pPr>
              <w:widowControl/>
              <w:jc w:val="right"/>
              <w:textAlignment w:val="center"/>
              <w:rPr>
                <w:rFonts w:ascii="Times New Roman" w:hAnsi="Times New Roman" w:eastAsiaTheme="minorEastAsia"/>
                <w:bCs/>
                <w:sz w:val="20"/>
                <w:szCs w:val="20"/>
              </w:rPr>
            </w:pPr>
            <w:r>
              <w:rPr>
                <w:rFonts w:ascii="Times New Roman" w:hAnsi="Times New Roman"/>
                <w:bCs/>
                <w:sz w:val="20"/>
                <w:szCs w:val="20"/>
              </w:rPr>
              <w:t>4.18</w:t>
            </w:r>
          </w:p>
        </w:tc>
        <w:tc>
          <w:tcPr>
            <w:tcW w:w="1302" w:type="dxa"/>
            <w:tcBorders>
              <w:bottom w:val="single" w:color="auto" w:sz="4" w:space="0"/>
            </w:tcBorders>
            <w:vAlign w:val="center"/>
          </w:tcPr>
          <w:p>
            <w:pPr>
              <w:widowControl/>
              <w:jc w:val="right"/>
              <w:textAlignment w:val="center"/>
              <w:rPr>
                <w:rFonts w:ascii="Times New Roman" w:hAnsi="Times New Roman" w:eastAsiaTheme="minorEastAsia"/>
                <w:bCs/>
                <w:sz w:val="20"/>
                <w:szCs w:val="20"/>
              </w:rPr>
            </w:pPr>
            <w:r>
              <w:rPr>
                <w:rFonts w:ascii="Times New Roman" w:hAnsi="Times New Roman"/>
                <w:bCs/>
                <w:sz w:val="20"/>
                <w:szCs w:val="20"/>
              </w:rPr>
              <w:t>0.94</w:t>
            </w:r>
          </w:p>
        </w:tc>
        <w:tc>
          <w:tcPr>
            <w:tcW w:w="1368" w:type="dxa"/>
            <w:tcBorders>
              <w:bottom w:val="single" w:color="auto" w:sz="4" w:space="0"/>
            </w:tcBorders>
            <w:vAlign w:val="center"/>
          </w:tcPr>
          <w:p>
            <w:pPr>
              <w:widowControl/>
              <w:jc w:val="right"/>
              <w:textAlignment w:val="center"/>
              <w:rPr>
                <w:rFonts w:ascii="Times New Roman" w:hAnsi="Times New Roman" w:eastAsiaTheme="minorEastAsia"/>
                <w:bCs/>
                <w:sz w:val="20"/>
                <w:szCs w:val="20"/>
              </w:rPr>
            </w:pPr>
            <w:r>
              <w:rPr>
                <w:rFonts w:ascii="Times New Roman" w:hAnsi="Times New Roman"/>
                <w:kern w:val="0"/>
                <w:sz w:val="20"/>
                <w:szCs w:val="20"/>
                <w:lang w:bidi="ar"/>
              </w:rPr>
              <w:t>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856" w:type="dxa"/>
            <w:shd w:val="clear" w:color="auto" w:fill="auto"/>
            <w:vAlign w:val="center"/>
          </w:tcPr>
          <w:p>
            <w:pPr>
              <w:widowControl/>
              <w:jc w:val="left"/>
              <w:textAlignment w:val="center"/>
              <w:rPr>
                <w:rFonts w:ascii="Times New Roman" w:hAnsi="Times New Roman" w:eastAsiaTheme="minorEastAsia"/>
                <w:sz w:val="20"/>
                <w:szCs w:val="20"/>
              </w:rPr>
            </w:pPr>
            <w:r>
              <w:rPr>
                <w:rFonts w:ascii="Times New Roman" w:hAnsi="Times New Roman"/>
                <w:kern w:val="0"/>
                <w:sz w:val="20"/>
                <w:szCs w:val="20"/>
                <w:lang w:bidi="ar"/>
              </w:rPr>
              <w:t>因公出国（境）费</w:t>
            </w:r>
          </w:p>
        </w:tc>
        <w:tc>
          <w:tcPr>
            <w:tcW w:w="1523" w:type="dxa"/>
            <w:shd w:val="clear" w:color="auto" w:fill="auto"/>
            <w:vAlign w:val="center"/>
          </w:tcPr>
          <w:p>
            <w:pPr>
              <w:widowControl/>
              <w:jc w:val="right"/>
              <w:textAlignment w:val="center"/>
              <w:rPr>
                <w:rFonts w:ascii="Times New Roman" w:hAnsi="Times New Roman" w:eastAsiaTheme="minorEastAsia"/>
                <w:bCs/>
                <w:sz w:val="20"/>
                <w:szCs w:val="20"/>
              </w:rPr>
            </w:pPr>
            <w:r>
              <w:rPr>
                <w:rFonts w:ascii="Times New Roman" w:hAnsi="Times New Roman"/>
                <w:kern w:val="0"/>
                <w:sz w:val="20"/>
                <w:szCs w:val="20"/>
                <w:lang w:bidi="ar"/>
              </w:rPr>
              <w:t>-</w:t>
            </w:r>
          </w:p>
        </w:tc>
        <w:tc>
          <w:tcPr>
            <w:tcW w:w="1717" w:type="dxa"/>
            <w:vAlign w:val="center"/>
          </w:tcPr>
          <w:p>
            <w:pPr>
              <w:jc w:val="right"/>
              <w:rPr>
                <w:rFonts w:ascii="Times New Roman" w:hAnsi="Times New Roman" w:eastAsiaTheme="minorEastAsia"/>
                <w:bCs/>
                <w:sz w:val="20"/>
                <w:szCs w:val="20"/>
              </w:rPr>
            </w:pPr>
          </w:p>
        </w:tc>
        <w:tc>
          <w:tcPr>
            <w:tcW w:w="1302" w:type="dxa"/>
            <w:vAlign w:val="center"/>
          </w:tcPr>
          <w:p>
            <w:pPr>
              <w:jc w:val="right"/>
              <w:rPr>
                <w:rFonts w:ascii="Times New Roman" w:hAnsi="Times New Roman" w:eastAsiaTheme="minorEastAsia"/>
                <w:bCs/>
                <w:sz w:val="20"/>
                <w:szCs w:val="20"/>
              </w:rPr>
            </w:pPr>
          </w:p>
        </w:tc>
        <w:tc>
          <w:tcPr>
            <w:tcW w:w="1368" w:type="dxa"/>
            <w:vAlign w:val="center"/>
          </w:tcPr>
          <w:p>
            <w:pPr>
              <w:jc w:val="right"/>
              <w:rPr>
                <w:rFonts w:ascii="Times New Roman" w:hAnsi="Times New Roman" w:eastAsia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856" w:type="dxa"/>
            <w:shd w:val="clear" w:color="auto" w:fill="auto"/>
            <w:vAlign w:val="center"/>
          </w:tcPr>
          <w:p>
            <w:pPr>
              <w:widowControl/>
              <w:jc w:val="left"/>
              <w:textAlignment w:val="center"/>
              <w:rPr>
                <w:rFonts w:ascii="Times New Roman" w:hAnsi="Times New Roman" w:eastAsiaTheme="minorEastAsia"/>
                <w:kern w:val="0"/>
                <w:sz w:val="20"/>
                <w:szCs w:val="20"/>
                <w:lang w:bidi="ar"/>
              </w:rPr>
            </w:pPr>
            <w:r>
              <w:rPr>
                <w:rFonts w:hint="eastAsia" w:ascii="Times New Roman" w:hAnsi="Times New Roman"/>
                <w:kern w:val="0"/>
                <w:sz w:val="20"/>
                <w:szCs w:val="20"/>
                <w:lang w:bidi="ar"/>
              </w:rPr>
              <w:t>公务接待费</w:t>
            </w:r>
          </w:p>
        </w:tc>
        <w:tc>
          <w:tcPr>
            <w:tcW w:w="1523" w:type="dxa"/>
            <w:shd w:val="clear" w:color="auto" w:fill="auto"/>
            <w:vAlign w:val="center"/>
          </w:tcPr>
          <w:p>
            <w:pPr>
              <w:widowControl/>
              <w:jc w:val="right"/>
              <w:textAlignment w:val="center"/>
              <w:rPr>
                <w:rFonts w:ascii="Times New Roman" w:hAnsi="Times New Roman" w:eastAsiaTheme="minorEastAsia"/>
                <w:bCs/>
                <w:kern w:val="0"/>
                <w:sz w:val="20"/>
                <w:szCs w:val="20"/>
                <w:lang w:bidi="ar"/>
              </w:rPr>
            </w:pPr>
            <w:r>
              <w:rPr>
                <w:rFonts w:ascii="Times New Roman" w:hAnsi="Times New Roman"/>
                <w:kern w:val="0"/>
                <w:sz w:val="20"/>
                <w:szCs w:val="20"/>
                <w:lang w:bidi="ar"/>
              </w:rPr>
              <w:t>0.00</w:t>
            </w:r>
          </w:p>
        </w:tc>
        <w:tc>
          <w:tcPr>
            <w:tcW w:w="1717" w:type="dxa"/>
            <w:vAlign w:val="center"/>
          </w:tcPr>
          <w:p>
            <w:pPr>
              <w:widowControl/>
              <w:jc w:val="right"/>
              <w:textAlignment w:val="center"/>
              <w:rPr>
                <w:rFonts w:ascii="Times New Roman" w:hAnsi="Times New Roman" w:eastAsiaTheme="minorEastAsia"/>
                <w:bCs/>
                <w:kern w:val="0"/>
                <w:sz w:val="20"/>
                <w:szCs w:val="20"/>
                <w:lang w:bidi="ar"/>
              </w:rPr>
            </w:pPr>
            <w:r>
              <w:rPr>
                <w:rFonts w:ascii="Times New Roman" w:hAnsi="Times New Roman"/>
                <w:bCs/>
                <w:kern w:val="0"/>
                <w:sz w:val="20"/>
                <w:szCs w:val="20"/>
                <w:lang w:bidi="ar"/>
              </w:rPr>
              <w:t>0.00</w:t>
            </w:r>
          </w:p>
        </w:tc>
        <w:tc>
          <w:tcPr>
            <w:tcW w:w="1302" w:type="dxa"/>
            <w:vAlign w:val="center"/>
          </w:tcPr>
          <w:p>
            <w:pPr>
              <w:widowControl/>
              <w:jc w:val="right"/>
              <w:textAlignment w:val="center"/>
              <w:rPr>
                <w:rFonts w:ascii="Times New Roman" w:hAnsi="Times New Roman" w:eastAsiaTheme="minorEastAsia"/>
                <w:bCs/>
                <w:sz w:val="20"/>
                <w:szCs w:val="20"/>
              </w:rPr>
            </w:pPr>
            <w:r>
              <w:rPr>
                <w:rFonts w:ascii="Times New Roman" w:hAnsi="Times New Roman"/>
                <w:kern w:val="0"/>
                <w:sz w:val="20"/>
                <w:szCs w:val="20"/>
                <w:lang w:bidi="ar"/>
              </w:rPr>
              <w:t>0.00</w:t>
            </w:r>
          </w:p>
        </w:tc>
        <w:tc>
          <w:tcPr>
            <w:tcW w:w="1368" w:type="dxa"/>
            <w:vAlign w:val="center"/>
          </w:tcPr>
          <w:p>
            <w:pPr>
              <w:widowControl/>
              <w:jc w:val="right"/>
              <w:textAlignment w:val="center"/>
              <w:rPr>
                <w:rFonts w:ascii="Times New Roman" w:hAnsi="Times New Roman" w:eastAsiaTheme="minorEastAsia"/>
                <w:bCs/>
                <w:sz w:val="20"/>
                <w:szCs w:val="20"/>
              </w:rPr>
            </w:pPr>
            <w:r>
              <w:rPr>
                <w:rFonts w:ascii="Times New Roman" w:hAnsi="Times New Roman"/>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856" w:type="dxa"/>
            <w:shd w:val="clear" w:color="auto" w:fill="auto"/>
            <w:vAlign w:val="center"/>
          </w:tcPr>
          <w:p>
            <w:pPr>
              <w:widowControl/>
              <w:jc w:val="center"/>
              <w:textAlignment w:val="center"/>
              <w:rPr>
                <w:rFonts w:ascii="Times New Roman" w:hAnsi="Times New Roman" w:eastAsiaTheme="minorEastAsia"/>
                <w:sz w:val="20"/>
                <w:szCs w:val="20"/>
              </w:rPr>
            </w:pPr>
            <w:r>
              <w:rPr>
                <w:rFonts w:ascii="Times New Roman" w:hAnsi="Times New Roman"/>
                <w:kern w:val="0"/>
                <w:sz w:val="20"/>
                <w:szCs w:val="20"/>
                <w:lang w:bidi="ar"/>
              </w:rPr>
              <w:t>合计</w:t>
            </w:r>
          </w:p>
        </w:tc>
        <w:tc>
          <w:tcPr>
            <w:tcW w:w="1523" w:type="dxa"/>
            <w:tcBorders>
              <w:bottom w:val="single" w:color="auto" w:sz="4" w:space="0"/>
            </w:tcBorders>
            <w:shd w:val="clear" w:color="auto" w:fill="auto"/>
            <w:vAlign w:val="center"/>
          </w:tcPr>
          <w:p>
            <w:pPr>
              <w:widowControl/>
              <w:jc w:val="right"/>
              <w:textAlignment w:val="center"/>
              <w:rPr>
                <w:rFonts w:ascii="Times New Roman" w:hAnsi="Times New Roman" w:eastAsiaTheme="minorEastAsia"/>
                <w:sz w:val="20"/>
                <w:szCs w:val="20"/>
              </w:rPr>
            </w:pPr>
            <w:r>
              <w:rPr>
                <w:rFonts w:ascii="Times New Roman" w:hAnsi="Times New Roman"/>
                <w:sz w:val="20"/>
                <w:szCs w:val="20"/>
              </w:rPr>
              <w:t>5.12</w:t>
            </w:r>
          </w:p>
        </w:tc>
        <w:tc>
          <w:tcPr>
            <w:tcW w:w="1717" w:type="dxa"/>
            <w:tcBorders>
              <w:bottom w:val="single" w:color="auto" w:sz="4" w:space="0"/>
            </w:tcBorders>
            <w:vAlign w:val="center"/>
          </w:tcPr>
          <w:p>
            <w:pPr>
              <w:widowControl/>
              <w:jc w:val="right"/>
              <w:textAlignment w:val="center"/>
              <w:rPr>
                <w:rFonts w:ascii="Times New Roman" w:hAnsi="Times New Roman" w:eastAsiaTheme="minorEastAsia"/>
                <w:sz w:val="20"/>
                <w:szCs w:val="20"/>
              </w:rPr>
            </w:pPr>
            <w:r>
              <w:rPr>
                <w:rFonts w:ascii="Times New Roman" w:hAnsi="Times New Roman"/>
                <w:sz w:val="20"/>
                <w:szCs w:val="20"/>
              </w:rPr>
              <w:t>4.18</w:t>
            </w:r>
          </w:p>
        </w:tc>
        <w:tc>
          <w:tcPr>
            <w:tcW w:w="1302" w:type="dxa"/>
            <w:tcBorders>
              <w:bottom w:val="single" w:color="auto" w:sz="4" w:space="0"/>
            </w:tcBorders>
            <w:vAlign w:val="center"/>
          </w:tcPr>
          <w:p>
            <w:pPr>
              <w:widowControl/>
              <w:jc w:val="right"/>
              <w:textAlignment w:val="center"/>
              <w:rPr>
                <w:rFonts w:ascii="Times New Roman" w:hAnsi="Times New Roman" w:eastAsiaTheme="minorEastAsia"/>
                <w:sz w:val="20"/>
                <w:szCs w:val="20"/>
              </w:rPr>
            </w:pPr>
            <w:r>
              <w:rPr>
                <w:rFonts w:ascii="Times New Roman" w:hAnsi="Times New Roman"/>
                <w:kern w:val="0"/>
                <w:sz w:val="20"/>
                <w:szCs w:val="20"/>
                <w:lang w:bidi="ar"/>
              </w:rPr>
              <w:t>0.94</w:t>
            </w:r>
          </w:p>
        </w:tc>
        <w:tc>
          <w:tcPr>
            <w:tcW w:w="1368" w:type="dxa"/>
            <w:tcBorders>
              <w:bottom w:val="single" w:color="auto" w:sz="4" w:space="0"/>
            </w:tcBorders>
            <w:vAlign w:val="center"/>
          </w:tcPr>
          <w:p>
            <w:pPr>
              <w:widowControl/>
              <w:jc w:val="right"/>
              <w:textAlignment w:val="center"/>
              <w:rPr>
                <w:rFonts w:ascii="Times New Roman" w:hAnsi="Times New Roman" w:eastAsiaTheme="minorEastAsia"/>
                <w:sz w:val="20"/>
                <w:szCs w:val="20"/>
              </w:rPr>
            </w:pPr>
            <w:r>
              <w:rPr>
                <w:rFonts w:ascii="Times New Roman" w:hAnsi="Times New Roman"/>
                <w:kern w:val="0"/>
                <w:sz w:val="20"/>
                <w:szCs w:val="20"/>
                <w:lang w:bidi="ar"/>
              </w:rPr>
              <w:t>22.49%</w:t>
            </w:r>
          </w:p>
        </w:tc>
      </w:tr>
    </w:tbl>
    <w:p>
      <w:pPr>
        <w:rPr>
          <w:rFonts w:ascii="Times New Roman" w:hAnsi="Times New Roman" w:eastAsia="仿宋"/>
          <w:spacing w:val="-10"/>
          <w:sz w:val="32"/>
          <w:szCs w:val="32"/>
        </w:rPr>
      </w:pPr>
      <w:r>
        <w:rPr>
          <w:rFonts w:ascii="Times New Roman" w:hAnsi="Times New Roman" w:eastAsia="仿宋"/>
          <w:spacing w:val="-10"/>
          <w:sz w:val="32"/>
          <w:szCs w:val="32"/>
        </w:rPr>
        <w:t>与上年比较，三公经费总额增加0.94万元，增幅22.49%，系公务用车购置及运行维护费增加0.94万元，其主要原因为车辆使用年限的增长导致维修费用增大。</w:t>
      </w:r>
    </w:p>
    <w:p>
      <w:pPr>
        <w:adjustRightInd w:val="0"/>
        <w:snapToGrid w:val="0"/>
        <w:spacing w:line="560" w:lineRule="exact"/>
        <w:ind w:firstLine="603" w:firstLineChars="200"/>
        <w:outlineLvl w:val="1"/>
        <w:rPr>
          <w:rFonts w:ascii="Times New Roman" w:hAnsi="Times New Roman" w:eastAsia="楷体_GB2312"/>
          <w:b/>
          <w:bCs/>
          <w:spacing w:val="-10"/>
          <w:sz w:val="32"/>
          <w:szCs w:val="32"/>
        </w:rPr>
      </w:pPr>
      <w:r>
        <w:rPr>
          <w:rFonts w:ascii="Times New Roman" w:hAnsi="Times New Roman" w:eastAsia="楷体_GB2312"/>
          <w:b/>
          <w:bCs/>
          <w:spacing w:val="-10"/>
          <w:sz w:val="32"/>
          <w:szCs w:val="32"/>
          <w:lang w:val="zh-CN"/>
        </w:rPr>
        <w:t>（三）项目支出</w:t>
      </w:r>
    </w:p>
    <w:p>
      <w:pPr>
        <w:widowControl/>
        <w:spacing w:before="20" w:after="20" w:line="560" w:lineRule="exact"/>
        <w:ind w:firstLine="600" w:firstLineChars="200"/>
        <w:jc w:val="left"/>
        <w:rPr>
          <w:rFonts w:ascii="Times New Roman" w:hAnsi="Times New Roman" w:eastAsia="仿宋"/>
          <w:spacing w:val="-10"/>
          <w:sz w:val="32"/>
          <w:szCs w:val="32"/>
        </w:rPr>
      </w:pPr>
      <w:r>
        <w:rPr>
          <w:rFonts w:ascii="Times New Roman" w:hAnsi="Times New Roman" w:eastAsia="仿宋"/>
          <w:spacing w:val="-10"/>
          <w:sz w:val="32"/>
          <w:szCs w:val="32"/>
        </w:rPr>
        <w:t>2021年新区土储中心项目支出年初预算为24.50万元，</w:t>
      </w:r>
      <w:r>
        <w:rPr>
          <w:rFonts w:ascii="Times New Roman" w:hAnsi="Times New Roman" w:eastAsia="仿宋"/>
          <w:spacing w:val="-10"/>
          <w:sz w:val="32"/>
          <w:szCs w:val="32"/>
          <w:lang w:val="zh-CN"/>
        </w:rPr>
        <w:t>系</w:t>
      </w:r>
      <w:r>
        <w:rPr>
          <w:rFonts w:ascii="Times New Roman" w:hAnsi="Times New Roman" w:eastAsia="仿宋"/>
          <w:spacing w:val="-10"/>
          <w:sz w:val="32"/>
          <w:szCs w:val="32"/>
        </w:rPr>
        <w:t>土地储备计划编制</w:t>
      </w:r>
      <w:r>
        <w:rPr>
          <w:rFonts w:ascii="Times New Roman" w:hAnsi="Times New Roman" w:eastAsia="仿宋"/>
          <w:spacing w:val="-10"/>
          <w:sz w:val="32"/>
          <w:szCs w:val="32"/>
          <w:lang w:val="zh-CN"/>
        </w:rPr>
        <w:t>项目及</w:t>
      </w:r>
      <w:r>
        <w:rPr>
          <w:rFonts w:ascii="Times New Roman" w:hAnsi="Times New Roman" w:eastAsia="仿宋"/>
          <w:spacing w:val="-10"/>
          <w:sz w:val="32"/>
          <w:szCs w:val="32"/>
        </w:rPr>
        <w:t>党建及宣传经费项目</w:t>
      </w:r>
      <w:r>
        <w:rPr>
          <w:rFonts w:ascii="Times New Roman" w:hAnsi="Times New Roman" w:eastAsia="仿宋"/>
          <w:spacing w:val="-10"/>
          <w:sz w:val="32"/>
          <w:szCs w:val="32"/>
          <w:lang w:val="zh-CN"/>
        </w:rPr>
        <w:t>，</w:t>
      </w:r>
      <w:r>
        <w:rPr>
          <w:rFonts w:ascii="Times New Roman" w:hAnsi="Times New Roman" w:eastAsia="仿宋"/>
          <w:spacing w:val="-10"/>
          <w:sz w:val="32"/>
          <w:szCs w:val="32"/>
        </w:rPr>
        <w:t>年中</w:t>
      </w:r>
      <w:r>
        <w:rPr>
          <w:rFonts w:ascii="Times New Roman" w:hAnsi="Times New Roman" w:eastAsia="仿宋"/>
          <w:spacing w:val="-11"/>
          <w:sz w:val="32"/>
          <w:szCs w:val="32"/>
        </w:rPr>
        <w:t>调增3.00万，调减4.00万</w:t>
      </w:r>
      <w:r>
        <w:rPr>
          <w:rFonts w:ascii="Times New Roman" w:hAnsi="Times New Roman" w:eastAsia="仿宋"/>
          <w:spacing w:val="-10"/>
          <w:sz w:val="32"/>
          <w:szCs w:val="32"/>
        </w:rPr>
        <w:t>，调整后项目支出预算为23.50万元，实际支出23.15万元，预算执行率为98.51%，</w:t>
      </w:r>
      <w:r>
        <w:rPr>
          <w:rFonts w:ascii="Times New Roman" w:hAnsi="Times New Roman" w:eastAsia="仿宋"/>
          <w:spacing w:val="-10"/>
          <w:sz w:val="32"/>
          <w:szCs w:val="32"/>
          <w:lang w:val="zh-CN"/>
        </w:rPr>
        <w:t>具体情况如下：</w:t>
      </w:r>
      <w:r>
        <w:rPr>
          <w:rFonts w:ascii="Times New Roman" w:hAnsi="Times New Roman" w:eastAsia="仿宋"/>
          <w:spacing w:val="-10"/>
          <w:sz w:val="32"/>
          <w:szCs w:val="32"/>
        </w:rPr>
        <w:t xml:space="preserve"> </w:t>
      </w:r>
    </w:p>
    <w:p>
      <w:pPr>
        <w:spacing w:before="20" w:after="20"/>
        <w:ind w:firstLine="420" w:firstLineChars="200"/>
        <w:jc w:val="right"/>
        <w:rPr>
          <w:rFonts w:ascii="Times New Roman" w:hAnsi="Times New Roman" w:eastAsiaTheme="minorEastAsia"/>
          <w:szCs w:val="21"/>
        </w:rPr>
      </w:pPr>
      <w:r>
        <w:rPr>
          <w:rFonts w:ascii="Times New Roman" w:hAnsi="Times New Roman" w:eastAsiaTheme="minorEastAsia"/>
          <w:szCs w:val="21"/>
        </w:rPr>
        <w:t>金额单位：万元</w:t>
      </w:r>
    </w:p>
    <w:tbl>
      <w:tblPr>
        <w:tblStyle w:val="13"/>
        <w:tblW w:w="50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7"/>
        <w:gridCol w:w="1455"/>
        <w:gridCol w:w="1105"/>
        <w:gridCol w:w="927"/>
        <w:gridCol w:w="1143"/>
        <w:gridCol w:w="1164"/>
        <w:gridCol w:w="1405"/>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blHeader/>
          <w:jc w:val="center"/>
        </w:trPr>
        <w:tc>
          <w:tcPr>
            <w:tcW w:w="517" w:type="dxa"/>
            <w:vAlign w:val="center"/>
          </w:tcPr>
          <w:p>
            <w:pPr>
              <w:widowControl/>
              <w:jc w:val="center"/>
              <w:textAlignment w:val="center"/>
              <w:rPr>
                <w:rFonts w:ascii="Times New Roman" w:hAnsi="Times New Roman"/>
                <w:color w:val="000000"/>
                <w:kern w:val="0"/>
                <w:sz w:val="20"/>
                <w:szCs w:val="20"/>
                <w:lang w:val="zh-CN" w:bidi="ar"/>
              </w:rPr>
            </w:pPr>
            <w:r>
              <w:rPr>
                <w:rFonts w:ascii="Times New Roman" w:hAnsi="Times New Roman"/>
                <w:color w:val="000000"/>
                <w:kern w:val="0"/>
                <w:sz w:val="20"/>
                <w:szCs w:val="20"/>
                <w:lang w:bidi="ar"/>
              </w:rPr>
              <w:t>序号</w:t>
            </w:r>
          </w:p>
        </w:tc>
        <w:tc>
          <w:tcPr>
            <w:tcW w:w="1455" w:type="dxa"/>
            <w:vAlign w:val="center"/>
          </w:tcPr>
          <w:p>
            <w:pPr>
              <w:widowControl/>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项目内容</w:t>
            </w:r>
          </w:p>
        </w:tc>
        <w:tc>
          <w:tcPr>
            <w:tcW w:w="1105" w:type="dxa"/>
            <w:vAlign w:val="center"/>
          </w:tcPr>
          <w:p>
            <w:pPr>
              <w:widowControl/>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年初预算</w:t>
            </w:r>
          </w:p>
        </w:tc>
        <w:tc>
          <w:tcPr>
            <w:tcW w:w="927" w:type="dxa"/>
            <w:vAlign w:val="center"/>
          </w:tcPr>
          <w:p>
            <w:pPr>
              <w:widowControl/>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预算调整</w:t>
            </w:r>
          </w:p>
        </w:tc>
        <w:tc>
          <w:tcPr>
            <w:tcW w:w="1143" w:type="dxa"/>
            <w:vAlign w:val="center"/>
          </w:tcPr>
          <w:p>
            <w:pPr>
              <w:widowControl/>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调整后预算</w:t>
            </w:r>
          </w:p>
        </w:tc>
        <w:tc>
          <w:tcPr>
            <w:tcW w:w="1164" w:type="dxa"/>
            <w:vAlign w:val="center"/>
          </w:tcPr>
          <w:p>
            <w:pPr>
              <w:widowControl/>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实际支出</w:t>
            </w:r>
          </w:p>
        </w:tc>
        <w:tc>
          <w:tcPr>
            <w:tcW w:w="1405" w:type="dxa"/>
            <w:vAlign w:val="center"/>
          </w:tcPr>
          <w:p>
            <w:pPr>
              <w:widowControl/>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预算与执行差异（超支“+”，结余“-”）</w:t>
            </w:r>
          </w:p>
        </w:tc>
        <w:tc>
          <w:tcPr>
            <w:tcW w:w="1286" w:type="dxa"/>
            <w:vAlign w:val="center"/>
          </w:tcPr>
          <w:p>
            <w:pPr>
              <w:widowControl/>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17" w:type="dxa"/>
            <w:vAlign w:val="center"/>
          </w:tcPr>
          <w:p>
            <w:pPr>
              <w:widowControl/>
              <w:jc w:val="center"/>
              <w:textAlignment w:val="center"/>
              <w:rPr>
                <w:rFonts w:ascii="Times New Roman" w:hAnsi="Times New Roman"/>
                <w:color w:val="000000"/>
                <w:kern w:val="0"/>
                <w:sz w:val="20"/>
                <w:szCs w:val="20"/>
                <w:lang w:val="zh-CN" w:bidi="ar"/>
              </w:rPr>
            </w:pPr>
            <w:r>
              <w:rPr>
                <w:rFonts w:ascii="Times New Roman" w:hAnsi="Times New Roman"/>
                <w:color w:val="000000"/>
                <w:kern w:val="0"/>
                <w:sz w:val="20"/>
                <w:szCs w:val="20"/>
                <w:lang w:bidi="ar"/>
              </w:rPr>
              <w:t>1</w:t>
            </w:r>
          </w:p>
        </w:tc>
        <w:tc>
          <w:tcPr>
            <w:tcW w:w="1455" w:type="dxa"/>
            <w:vAlign w:val="center"/>
          </w:tcPr>
          <w:p>
            <w:pPr>
              <w:widowControl/>
              <w:jc w:val="left"/>
              <w:textAlignment w:val="center"/>
              <w:rPr>
                <w:rFonts w:ascii="Times New Roman" w:hAnsi="Times New Roman"/>
                <w:color w:val="000000"/>
                <w:kern w:val="0"/>
                <w:sz w:val="20"/>
                <w:szCs w:val="20"/>
                <w:lang w:val="zh-CN" w:bidi="ar"/>
              </w:rPr>
            </w:pPr>
            <w:r>
              <w:rPr>
                <w:rFonts w:ascii="Times New Roman" w:hAnsi="Times New Roman"/>
                <w:color w:val="000000"/>
                <w:kern w:val="0"/>
                <w:sz w:val="20"/>
                <w:szCs w:val="20"/>
                <w:lang w:bidi="ar"/>
              </w:rPr>
              <w:t>党建及宣传经费</w:t>
            </w:r>
          </w:p>
        </w:tc>
        <w:tc>
          <w:tcPr>
            <w:tcW w:w="1105" w:type="dxa"/>
            <w:vAlign w:val="center"/>
          </w:tcPr>
          <w:p>
            <w:pPr>
              <w:widowControl/>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 xml:space="preserve">9.50 </w:t>
            </w:r>
          </w:p>
        </w:tc>
        <w:tc>
          <w:tcPr>
            <w:tcW w:w="927" w:type="dxa"/>
            <w:vAlign w:val="center"/>
          </w:tcPr>
          <w:p>
            <w:pPr>
              <w:widowControl/>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-4.00</w:t>
            </w:r>
          </w:p>
        </w:tc>
        <w:tc>
          <w:tcPr>
            <w:tcW w:w="1143" w:type="dxa"/>
            <w:vAlign w:val="center"/>
          </w:tcPr>
          <w:p>
            <w:pPr>
              <w:widowControl/>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 xml:space="preserve">5.50 </w:t>
            </w:r>
          </w:p>
        </w:tc>
        <w:tc>
          <w:tcPr>
            <w:tcW w:w="1164" w:type="dxa"/>
            <w:vAlign w:val="center"/>
          </w:tcPr>
          <w:p>
            <w:pPr>
              <w:widowControl/>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 xml:space="preserve">5.15 </w:t>
            </w:r>
          </w:p>
        </w:tc>
        <w:tc>
          <w:tcPr>
            <w:tcW w:w="1405" w:type="dxa"/>
            <w:vAlign w:val="center"/>
          </w:tcPr>
          <w:p>
            <w:pPr>
              <w:widowControl/>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 xml:space="preserve">-0.35 </w:t>
            </w:r>
          </w:p>
        </w:tc>
        <w:tc>
          <w:tcPr>
            <w:tcW w:w="1286" w:type="dxa"/>
            <w:vAlign w:val="center"/>
          </w:tcPr>
          <w:p>
            <w:pPr>
              <w:widowControl/>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93.65%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17" w:type="dxa"/>
            <w:vAlign w:val="center"/>
          </w:tcPr>
          <w:p>
            <w:pPr>
              <w:widowControl/>
              <w:jc w:val="center"/>
              <w:textAlignment w:val="center"/>
              <w:rPr>
                <w:rFonts w:ascii="Times New Roman" w:hAnsi="Times New Roman"/>
                <w:color w:val="000000"/>
                <w:kern w:val="0"/>
                <w:sz w:val="20"/>
                <w:szCs w:val="20"/>
                <w:lang w:val="zh-CN" w:bidi="ar"/>
              </w:rPr>
            </w:pPr>
            <w:r>
              <w:rPr>
                <w:rFonts w:ascii="Times New Roman" w:hAnsi="Times New Roman"/>
                <w:color w:val="000000"/>
                <w:kern w:val="0"/>
                <w:sz w:val="20"/>
                <w:szCs w:val="20"/>
                <w:lang w:bidi="ar"/>
              </w:rPr>
              <w:t>2</w:t>
            </w:r>
          </w:p>
        </w:tc>
        <w:tc>
          <w:tcPr>
            <w:tcW w:w="1455" w:type="dxa"/>
            <w:vAlign w:val="center"/>
          </w:tcPr>
          <w:p>
            <w:pPr>
              <w:widowControl/>
              <w:jc w:val="left"/>
              <w:textAlignment w:val="center"/>
              <w:rPr>
                <w:rFonts w:ascii="Times New Roman" w:hAnsi="Times New Roman"/>
                <w:color w:val="000000"/>
                <w:kern w:val="0"/>
                <w:sz w:val="20"/>
                <w:szCs w:val="20"/>
                <w:lang w:val="zh-CN" w:bidi="ar"/>
              </w:rPr>
            </w:pPr>
            <w:r>
              <w:rPr>
                <w:rFonts w:ascii="Times New Roman" w:hAnsi="Times New Roman"/>
                <w:color w:val="000000"/>
                <w:kern w:val="0"/>
                <w:sz w:val="20"/>
                <w:szCs w:val="20"/>
                <w:lang w:bidi="ar"/>
              </w:rPr>
              <w:t>土地储备计划编制费</w:t>
            </w:r>
          </w:p>
        </w:tc>
        <w:tc>
          <w:tcPr>
            <w:tcW w:w="1105" w:type="dxa"/>
            <w:vAlign w:val="center"/>
          </w:tcPr>
          <w:p>
            <w:pPr>
              <w:widowControl/>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 xml:space="preserve">15.00 </w:t>
            </w:r>
          </w:p>
        </w:tc>
        <w:tc>
          <w:tcPr>
            <w:tcW w:w="927" w:type="dxa"/>
            <w:vAlign w:val="center"/>
          </w:tcPr>
          <w:p>
            <w:pPr>
              <w:widowControl/>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3.00</w:t>
            </w:r>
          </w:p>
        </w:tc>
        <w:tc>
          <w:tcPr>
            <w:tcW w:w="1143" w:type="dxa"/>
            <w:vAlign w:val="center"/>
          </w:tcPr>
          <w:p>
            <w:pPr>
              <w:widowControl/>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 xml:space="preserve">18.00 </w:t>
            </w:r>
          </w:p>
        </w:tc>
        <w:tc>
          <w:tcPr>
            <w:tcW w:w="1164" w:type="dxa"/>
            <w:vAlign w:val="center"/>
          </w:tcPr>
          <w:p>
            <w:pPr>
              <w:widowControl/>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 xml:space="preserve">18.00 </w:t>
            </w:r>
          </w:p>
        </w:tc>
        <w:tc>
          <w:tcPr>
            <w:tcW w:w="1405" w:type="dxa"/>
            <w:vAlign w:val="center"/>
          </w:tcPr>
          <w:p>
            <w:pPr>
              <w:widowControl/>
              <w:jc w:val="right"/>
              <w:textAlignment w:val="center"/>
              <w:rPr>
                <w:rFonts w:ascii="Times New Roman" w:hAnsi="Times New Roman"/>
                <w:color w:val="000000"/>
                <w:kern w:val="0"/>
                <w:sz w:val="20"/>
                <w:szCs w:val="20"/>
                <w:lang w:bidi="ar"/>
              </w:rPr>
            </w:pPr>
          </w:p>
        </w:tc>
        <w:tc>
          <w:tcPr>
            <w:tcW w:w="1286" w:type="dxa"/>
            <w:vAlign w:val="center"/>
          </w:tcPr>
          <w:p>
            <w:pPr>
              <w:widowControl/>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1972" w:type="dxa"/>
            <w:gridSpan w:val="2"/>
            <w:vAlign w:val="center"/>
          </w:tcPr>
          <w:p>
            <w:pPr>
              <w:widowControl/>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合计</w:t>
            </w:r>
          </w:p>
        </w:tc>
        <w:tc>
          <w:tcPr>
            <w:tcW w:w="1105" w:type="dxa"/>
            <w:vAlign w:val="center"/>
          </w:tcPr>
          <w:p>
            <w:pPr>
              <w:widowControl/>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24.50</w:t>
            </w:r>
          </w:p>
        </w:tc>
        <w:tc>
          <w:tcPr>
            <w:tcW w:w="927" w:type="dxa"/>
            <w:vAlign w:val="center"/>
          </w:tcPr>
          <w:p>
            <w:pPr>
              <w:widowControl/>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-1.00</w:t>
            </w:r>
          </w:p>
        </w:tc>
        <w:tc>
          <w:tcPr>
            <w:tcW w:w="1143" w:type="dxa"/>
            <w:vAlign w:val="center"/>
          </w:tcPr>
          <w:p>
            <w:pPr>
              <w:widowControl/>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23.50</w:t>
            </w:r>
          </w:p>
        </w:tc>
        <w:tc>
          <w:tcPr>
            <w:tcW w:w="1164" w:type="dxa"/>
            <w:vAlign w:val="center"/>
          </w:tcPr>
          <w:p>
            <w:pPr>
              <w:widowControl/>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 xml:space="preserve">23.15 </w:t>
            </w:r>
          </w:p>
        </w:tc>
        <w:tc>
          <w:tcPr>
            <w:tcW w:w="1405" w:type="dxa"/>
            <w:vAlign w:val="center"/>
          </w:tcPr>
          <w:p>
            <w:pPr>
              <w:widowControl/>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 xml:space="preserve">-0.35 </w:t>
            </w:r>
          </w:p>
        </w:tc>
        <w:tc>
          <w:tcPr>
            <w:tcW w:w="1286" w:type="dxa"/>
            <w:vAlign w:val="center"/>
          </w:tcPr>
          <w:p>
            <w:pPr>
              <w:widowControl/>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98.51%</w:t>
            </w:r>
          </w:p>
        </w:tc>
      </w:tr>
    </w:tbl>
    <w:p>
      <w:pPr>
        <w:numPr>
          <w:ilvl w:val="255"/>
          <w:numId w:val="0"/>
        </w:numPr>
        <w:adjustRightInd w:val="0"/>
        <w:snapToGrid w:val="0"/>
        <w:spacing w:line="560" w:lineRule="exact"/>
        <w:ind w:firstLine="603" w:firstLineChars="200"/>
        <w:outlineLvl w:val="1"/>
        <w:rPr>
          <w:rFonts w:ascii="Times New Roman" w:hAnsi="Times New Roman" w:eastAsia="楷体_GB2312"/>
          <w:b/>
          <w:bCs/>
          <w:spacing w:val="-10"/>
          <w:sz w:val="32"/>
          <w:szCs w:val="32"/>
          <w:lang w:val="zh-CN"/>
        </w:rPr>
      </w:pPr>
      <w:r>
        <w:rPr>
          <w:rFonts w:ascii="Times New Roman" w:hAnsi="Times New Roman" w:eastAsia="楷体_GB2312"/>
          <w:b/>
          <w:bCs/>
          <w:spacing w:val="-10"/>
          <w:sz w:val="32"/>
          <w:szCs w:val="32"/>
          <w:lang w:val="zh-CN"/>
        </w:rPr>
        <w:t>（四）政府性基金支出</w:t>
      </w:r>
    </w:p>
    <w:p>
      <w:pPr>
        <w:pStyle w:val="12"/>
        <w:numPr>
          <w:ilvl w:val="255"/>
          <w:numId w:val="0"/>
        </w:numPr>
        <w:ind w:firstLine="600" w:firstLineChars="200"/>
        <w:rPr>
          <w:rFonts w:ascii="Times New Roman" w:hAnsi="Times New Roman" w:eastAsia="仿宋_GB2312"/>
          <w:spacing w:val="-10"/>
          <w:sz w:val="32"/>
          <w:szCs w:val="32"/>
        </w:rPr>
      </w:pPr>
      <w:r>
        <w:rPr>
          <w:rFonts w:ascii="Times New Roman" w:hAnsi="Times New Roman" w:eastAsia="仿宋_GB2312"/>
          <w:spacing w:val="-10"/>
          <w:sz w:val="32"/>
          <w:szCs w:val="32"/>
        </w:rPr>
        <w:t>2021年新区土储中心土地指标购买及前期开发费用年初预算34,774.00万元，预算调整0.00万元，调整后的预算34,774.00万元，实际支出34,774.00万元。预算执行率为100.00%。支出预、决算情况如下：</w:t>
      </w:r>
    </w:p>
    <w:p>
      <w:pPr>
        <w:numPr>
          <w:ilvl w:val="255"/>
          <w:numId w:val="0"/>
        </w:numPr>
        <w:spacing w:before="20" w:after="20"/>
        <w:ind w:firstLine="420" w:firstLineChars="200"/>
        <w:jc w:val="right"/>
        <w:rPr>
          <w:rFonts w:ascii="Times New Roman" w:hAnsi="Times New Roman" w:eastAsiaTheme="minorEastAsia"/>
          <w:spacing w:val="-10"/>
          <w:sz w:val="32"/>
          <w:szCs w:val="21"/>
        </w:rPr>
      </w:pPr>
      <w:r>
        <w:rPr>
          <w:rFonts w:ascii="Times New Roman" w:hAnsi="Times New Roman" w:eastAsiaTheme="minorEastAsia"/>
          <w:szCs w:val="21"/>
        </w:rPr>
        <w:t>金额单位：万元</w:t>
      </w:r>
    </w:p>
    <w:tbl>
      <w:tblPr>
        <w:tblStyle w:val="13"/>
        <w:tblW w:w="8835" w:type="dxa"/>
        <w:jc w:val="center"/>
        <w:tblLayout w:type="fixed"/>
        <w:tblCellMar>
          <w:top w:w="0" w:type="dxa"/>
          <w:left w:w="108" w:type="dxa"/>
          <w:bottom w:w="0" w:type="dxa"/>
          <w:right w:w="108" w:type="dxa"/>
        </w:tblCellMar>
      </w:tblPr>
      <w:tblGrid>
        <w:gridCol w:w="640"/>
        <w:gridCol w:w="1440"/>
        <w:gridCol w:w="1215"/>
        <w:gridCol w:w="1035"/>
        <w:gridCol w:w="1575"/>
        <w:gridCol w:w="1535"/>
        <w:gridCol w:w="1395"/>
      </w:tblGrid>
      <w:tr>
        <w:tblPrEx>
          <w:tblCellMar>
            <w:top w:w="0" w:type="dxa"/>
            <w:left w:w="108" w:type="dxa"/>
            <w:bottom w:w="0" w:type="dxa"/>
            <w:right w:w="108" w:type="dxa"/>
          </w:tblCellMar>
        </w:tblPrEx>
        <w:trPr>
          <w:trHeight w:val="473" w:hRule="atLeast"/>
          <w:jc w:val="center"/>
        </w:trPr>
        <w:tc>
          <w:tcPr>
            <w:tcW w:w="6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序号</w:t>
            </w: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项目内容</w:t>
            </w:r>
          </w:p>
        </w:tc>
        <w:tc>
          <w:tcPr>
            <w:tcW w:w="121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年初预算</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预算调整</w:t>
            </w:r>
          </w:p>
        </w:tc>
        <w:tc>
          <w:tcPr>
            <w:tcW w:w="157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调整后预算</w:t>
            </w:r>
          </w:p>
        </w:tc>
        <w:tc>
          <w:tcPr>
            <w:tcW w:w="153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实际支出</w:t>
            </w:r>
          </w:p>
        </w:tc>
        <w:tc>
          <w:tcPr>
            <w:tcW w:w="139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预算执行率</w:t>
            </w:r>
          </w:p>
        </w:tc>
      </w:tr>
      <w:tr>
        <w:tblPrEx>
          <w:tblCellMar>
            <w:top w:w="0" w:type="dxa"/>
            <w:left w:w="108" w:type="dxa"/>
            <w:bottom w:w="0" w:type="dxa"/>
            <w:right w:w="108" w:type="dxa"/>
          </w:tblCellMar>
        </w:tblPrEx>
        <w:trPr>
          <w:trHeight w:val="914" w:hRule="atLeast"/>
          <w:jc w:val="center"/>
        </w:trPr>
        <w:tc>
          <w:tcPr>
            <w:tcW w:w="64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1</w:t>
            </w:r>
          </w:p>
        </w:tc>
        <w:tc>
          <w:tcPr>
            <w:tcW w:w="1440"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土地指标购买及前期开发费用</w:t>
            </w:r>
          </w:p>
        </w:tc>
        <w:tc>
          <w:tcPr>
            <w:tcW w:w="121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34,774.00</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right"/>
              <w:textAlignment w:val="center"/>
              <w:rPr>
                <w:rFonts w:ascii="Times New Roman" w:hAnsi="Times New Roman"/>
                <w:color w:val="000000"/>
                <w:kern w:val="0"/>
                <w:sz w:val="20"/>
                <w:szCs w:val="20"/>
                <w:lang w:bidi="ar"/>
              </w:rPr>
            </w:pPr>
          </w:p>
        </w:tc>
        <w:tc>
          <w:tcPr>
            <w:tcW w:w="157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34,774.00</w:t>
            </w:r>
          </w:p>
        </w:tc>
        <w:tc>
          <w:tcPr>
            <w:tcW w:w="153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34,774.00</w:t>
            </w:r>
          </w:p>
        </w:tc>
        <w:tc>
          <w:tcPr>
            <w:tcW w:w="139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100.00%</w:t>
            </w:r>
          </w:p>
        </w:tc>
      </w:tr>
      <w:tr>
        <w:tblPrEx>
          <w:tblCellMar>
            <w:top w:w="0" w:type="dxa"/>
            <w:left w:w="108" w:type="dxa"/>
            <w:bottom w:w="0" w:type="dxa"/>
            <w:right w:w="108" w:type="dxa"/>
          </w:tblCellMar>
        </w:tblPrEx>
        <w:trPr>
          <w:trHeight w:val="303" w:hRule="atLeast"/>
          <w:jc w:val="center"/>
        </w:trPr>
        <w:tc>
          <w:tcPr>
            <w:tcW w:w="2080" w:type="dxa"/>
            <w:gridSpan w:val="2"/>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textAlignment w:val="center"/>
              <w:rPr>
                <w:rFonts w:ascii="Times New Roman" w:hAnsi="Times New Roman"/>
                <w:color w:val="000000"/>
                <w:kern w:val="0"/>
                <w:sz w:val="20"/>
                <w:szCs w:val="20"/>
                <w:lang w:bidi="ar"/>
              </w:rPr>
            </w:pPr>
            <w:r>
              <w:rPr>
                <w:rFonts w:hint="eastAsia" w:ascii="Times New Roman" w:hAnsi="Times New Roman"/>
                <w:color w:val="000000"/>
                <w:kern w:val="0"/>
                <w:sz w:val="20"/>
                <w:szCs w:val="20"/>
                <w:lang w:bidi="ar"/>
              </w:rPr>
              <w:t>合计</w:t>
            </w:r>
          </w:p>
        </w:tc>
        <w:tc>
          <w:tcPr>
            <w:tcW w:w="121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34,774.00</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right"/>
              <w:textAlignment w:val="center"/>
              <w:rPr>
                <w:rFonts w:ascii="Times New Roman" w:hAnsi="Times New Roman"/>
                <w:color w:val="000000"/>
                <w:kern w:val="0"/>
                <w:sz w:val="20"/>
                <w:szCs w:val="20"/>
                <w:lang w:bidi="ar"/>
              </w:rPr>
            </w:pPr>
          </w:p>
        </w:tc>
        <w:tc>
          <w:tcPr>
            <w:tcW w:w="157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34,774.00</w:t>
            </w:r>
          </w:p>
        </w:tc>
        <w:tc>
          <w:tcPr>
            <w:tcW w:w="153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34,774.00</w:t>
            </w:r>
          </w:p>
        </w:tc>
        <w:tc>
          <w:tcPr>
            <w:tcW w:w="139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right"/>
              <w:textAlignment w:val="center"/>
              <w:rPr>
                <w:rFonts w:ascii="Times New Roman" w:hAnsi="Times New Roman"/>
                <w:color w:val="000000"/>
                <w:kern w:val="0"/>
                <w:sz w:val="20"/>
                <w:szCs w:val="20"/>
                <w:lang w:bidi="ar"/>
              </w:rPr>
            </w:pPr>
            <w:r>
              <w:rPr>
                <w:rFonts w:ascii="Times New Roman" w:hAnsi="Times New Roman"/>
                <w:color w:val="000000"/>
                <w:kern w:val="0"/>
                <w:sz w:val="20"/>
                <w:szCs w:val="20"/>
                <w:lang w:bidi="ar"/>
              </w:rPr>
              <w:t>100.00%</w:t>
            </w:r>
          </w:p>
        </w:tc>
      </w:tr>
    </w:tbl>
    <w:p>
      <w:pPr>
        <w:spacing w:line="560" w:lineRule="exact"/>
        <w:ind w:firstLine="600" w:firstLineChars="200"/>
        <w:outlineLvl w:val="0"/>
        <w:rPr>
          <w:rFonts w:ascii="Times New Roman" w:hAnsi="Times New Roman" w:eastAsia="黑体"/>
          <w:spacing w:val="-10"/>
          <w:sz w:val="32"/>
          <w:szCs w:val="32"/>
        </w:rPr>
      </w:pPr>
      <w:r>
        <w:rPr>
          <w:rFonts w:ascii="Times New Roman" w:hAnsi="Times New Roman" w:eastAsia="黑体"/>
          <w:spacing w:val="-10"/>
          <w:sz w:val="32"/>
          <w:szCs w:val="32"/>
        </w:rPr>
        <w:t>三、项目管理情况</w:t>
      </w:r>
    </w:p>
    <w:p>
      <w:pPr>
        <w:autoSpaceDE w:val="0"/>
        <w:spacing w:line="540" w:lineRule="exact"/>
        <w:ind w:firstLine="600" w:firstLineChars="200"/>
        <w:rPr>
          <w:rFonts w:ascii="Times New Roman" w:hAnsi="Times New Roman" w:eastAsia="仿宋"/>
          <w:spacing w:val="-10"/>
          <w:sz w:val="32"/>
          <w:szCs w:val="32"/>
        </w:rPr>
      </w:pPr>
      <w:r>
        <w:rPr>
          <w:rFonts w:ascii="Times New Roman" w:hAnsi="Times New Roman" w:eastAsia="仿宋"/>
          <w:spacing w:val="-10"/>
          <w:sz w:val="32"/>
          <w:szCs w:val="32"/>
        </w:rPr>
        <w:t>新区土储中心在项目实施过程中，优先考虑有利于民生的惠民项目及重点工程项目，重大事项实行集体决策。在自有储备地管理上，强化了储备资产管理，制定了“一地一策”的管理方案，定期巡查，建立巡查台账，委托看护，有效盘活土地，推进自有储备地挂牌出让。2021年末新区土储中心自有土地储备面积566.43亩，具体情况见下表：</w:t>
      </w:r>
    </w:p>
    <w:tbl>
      <w:tblPr>
        <w:tblStyle w:val="13"/>
        <w:tblW w:w="9580" w:type="dxa"/>
        <w:tblInd w:w="96" w:type="dxa"/>
        <w:tblLayout w:type="fixed"/>
        <w:tblCellMar>
          <w:top w:w="0" w:type="dxa"/>
          <w:left w:w="108" w:type="dxa"/>
          <w:bottom w:w="0" w:type="dxa"/>
          <w:right w:w="108" w:type="dxa"/>
        </w:tblCellMar>
      </w:tblPr>
      <w:tblGrid>
        <w:gridCol w:w="1491"/>
        <w:gridCol w:w="1005"/>
        <w:gridCol w:w="952"/>
        <w:gridCol w:w="1174"/>
        <w:gridCol w:w="1474"/>
        <w:gridCol w:w="1396"/>
        <w:gridCol w:w="2088"/>
      </w:tblGrid>
      <w:tr>
        <w:tblPrEx>
          <w:tblCellMar>
            <w:top w:w="0" w:type="dxa"/>
            <w:left w:w="108" w:type="dxa"/>
            <w:bottom w:w="0" w:type="dxa"/>
            <w:right w:w="108" w:type="dxa"/>
          </w:tblCellMar>
        </w:tblPrEx>
        <w:trPr>
          <w:trHeight w:val="318" w:hRule="atLeast"/>
          <w:tblHeader/>
        </w:trPr>
        <w:tc>
          <w:tcPr>
            <w:tcW w:w="14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收储地名称</w:t>
            </w:r>
          </w:p>
        </w:tc>
        <w:tc>
          <w:tcPr>
            <w:tcW w:w="31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color w:val="000000"/>
                <w:sz w:val="18"/>
                <w:szCs w:val="18"/>
              </w:rPr>
            </w:pPr>
            <w:r>
              <w:rPr>
                <w:rFonts w:hint="eastAsia" w:ascii="Times New Roman" w:hAnsi="Times New Roman"/>
                <w:color w:val="000000"/>
                <w:kern w:val="0"/>
                <w:sz w:val="18"/>
                <w:szCs w:val="18"/>
                <w:lang w:bidi="ar"/>
              </w:rPr>
              <w:t>土地资产面积（亩）</w:t>
            </w:r>
          </w:p>
        </w:tc>
        <w:tc>
          <w:tcPr>
            <w:tcW w:w="1474"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 xml:space="preserve"> 投入资金</w:t>
            </w:r>
          </w:p>
          <w:p>
            <w:pPr>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（万元）</w:t>
            </w:r>
          </w:p>
        </w:tc>
        <w:tc>
          <w:tcPr>
            <w:tcW w:w="1396"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2021年应</w:t>
            </w:r>
          </w:p>
          <w:p>
            <w:pPr>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结转成本（万元）</w:t>
            </w:r>
          </w:p>
        </w:tc>
        <w:tc>
          <w:tcPr>
            <w:tcW w:w="20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备注</w:t>
            </w:r>
          </w:p>
        </w:tc>
      </w:tr>
      <w:tr>
        <w:tblPrEx>
          <w:tblCellMar>
            <w:top w:w="0" w:type="dxa"/>
            <w:left w:w="108" w:type="dxa"/>
            <w:bottom w:w="0" w:type="dxa"/>
            <w:right w:w="108" w:type="dxa"/>
          </w:tblCellMar>
        </w:tblPrEx>
        <w:trPr>
          <w:trHeight w:val="288" w:hRule="atLeast"/>
          <w:tblHeader/>
        </w:trPr>
        <w:tc>
          <w:tcPr>
            <w:tcW w:w="14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color w:val="00000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年初</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供地</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年末</w:t>
            </w:r>
          </w:p>
        </w:tc>
        <w:tc>
          <w:tcPr>
            <w:tcW w:w="1474"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color w:val="000000"/>
                <w:sz w:val="18"/>
                <w:szCs w:val="18"/>
              </w:rPr>
            </w:pPr>
          </w:p>
        </w:tc>
        <w:tc>
          <w:tcPr>
            <w:tcW w:w="139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color w:val="000000"/>
                <w:sz w:val="18"/>
                <w:szCs w:val="18"/>
              </w:rPr>
            </w:pPr>
          </w:p>
        </w:tc>
        <w:tc>
          <w:tcPr>
            <w:tcW w:w="2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432"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b/>
                <w:bCs/>
                <w:color w:val="000000"/>
                <w:sz w:val="18"/>
                <w:szCs w:val="18"/>
              </w:rPr>
            </w:pPr>
            <w:r>
              <w:rPr>
                <w:rFonts w:ascii="Times New Roman" w:hAnsi="Times New Roman"/>
                <w:b/>
                <w:bCs/>
                <w:color w:val="000000"/>
                <w:kern w:val="0"/>
                <w:sz w:val="18"/>
                <w:szCs w:val="18"/>
                <w:lang w:bidi="ar"/>
              </w:rPr>
              <w:t>一、中心自行管护</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254.89</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31.73</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224.02</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2,523.05</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1,241.37</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40" w:lineRule="exact"/>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432"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其中：麓枫休闲走廊</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3.30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3.30</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564.08</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40" w:lineRule="exact"/>
              <w:jc w:val="left"/>
              <w:textAlignment w:val="bottom"/>
              <w:rPr>
                <w:rFonts w:ascii="Times New Roman" w:hAnsi="Times New Roman"/>
                <w:color w:val="000000"/>
                <w:sz w:val="18"/>
                <w:szCs w:val="18"/>
              </w:rPr>
            </w:pPr>
            <w:r>
              <w:rPr>
                <w:rFonts w:ascii="Times New Roman" w:hAnsi="Times New Roman"/>
                <w:color w:val="000000"/>
                <w:kern w:val="0"/>
                <w:sz w:val="18"/>
                <w:szCs w:val="18"/>
                <w:lang w:bidi="ar"/>
              </w:rPr>
              <w:t>协议出让收回地价款776.8万元，实为2022年结转成本</w:t>
            </w:r>
          </w:p>
        </w:tc>
      </w:tr>
      <w:tr>
        <w:tblPrEx>
          <w:tblCellMar>
            <w:top w:w="0" w:type="dxa"/>
            <w:left w:w="108" w:type="dxa"/>
            <w:bottom w:w="0" w:type="dxa"/>
            <w:right w:w="108" w:type="dxa"/>
          </w:tblCellMar>
        </w:tblPrEx>
        <w:trPr>
          <w:trHeight w:val="648"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540" w:firstLineChars="300"/>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坪塘大道匝道及公交停车场</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156.00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28.43</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127.57</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1,945.29</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677.29</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40" w:lineRule="exact"/>
              <w:jc w:val="left"/>
              <w:textAlignment w:val="bottom"/>
              <w:rPr>
                <w:rFonts w:ascii="Times New Roman" w:hAnsi="Times New Roman"/>
                <w:color w:val="000000"/>
                <w:sz w:val="18"/>
                <w:szCs w:val="18"/>
              </w:rPr>
            </w:pPr>
            <w:r>
              <w:rPr>
                <w:rFonts w:ascii="Times New Roman" w:hAnsi="Times New Roman"/>
                <w:color w:val="000000"/>
                <w:kern w:val="0"/>
                <w:sz w:val="18"/>
                <w:szCs w:val="18"/>
                <w:lang w:bidi="ar"/>
              </w:rPr>
              <w:t>划拨土地，实为2022年结转成本677.29万元</w:t>
            </w:r>
          </w:p>
        </w:tc>
      </w:tr>
      <w:tr>
        <w:tblPrEx>
          <w:tblCellMar>
            <w:top w:w="0" w:type="dxa"/>
            <w:left w:w="108" w:type="dxa"/>
            <w:bottom w:w="0" w:type="dxa"/>
            <w:right w:w="108" w:type="dxa"/>
          </w:tblCellMar>
        </w:tblPrEx>
        <w:trPr>
          <w:trHeight w:val="432"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540" w:firstLineChars="300"/>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汉王陵遗址公园</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26.69</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26.69</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393.28</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40" w:lineRule="exact"/>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432"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540" w:firstLineChars="300"/>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青山科技创业服务中心</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24.28</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24.28</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184.48</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40" w:lineRule="exact"/>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288"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540" w:firstLineChars="300"/>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汇通地块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44.62</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44.62</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无成本</w:t>
            </w:r>
          </w:p>
        </w:tc>
      </w:tr>
      <w:tr>
        <w:tblPrEx>
          <w:tblCellMar>
            <w:top w:w="0" w:type="dxa"/>
            <w:left w:w="108" w:type="dxa"/>
            <w:bottom w:w="0" w:type="dxa"/>
            <w:right w:w="108" w:type="dxa"/>
          </w:tblCellMar>
        </w:tblPrEx>
        <w:trPr>
          <w:trHeight w:val="432"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540" w:firstLineChars="300"/>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原319国道流量观察站</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0.86</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2021年新增，暂未付收购款</w:t>
            </w:r>
          </w:p>
        </w:tc>
      </w:tr>
      <w:tr>
        <w:tblPrEx>
          <w:tblCellMar>
            <w:top w:w="0" w:type="dxa"/>
            <w:left w:w="108" w:type="dxa"/>
            <w:bottom w:w="0" w:type="dxa"/>
            <w:right w:w="108" w:type="dxa"/>
          </w:tblCellMar>
        </w:tblPrEx>
        <w:trPr>
          <w:trHeight w:val="648"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b/>
                <w:bCs/>
                <w:color w:val="000000"/>
                <w:sz w:val="18"/>
                <w:szCs w:val="18"/>
              </w:rPr>
            </w:pPr>
            <w:r>
              <w:rPr>
                <w:rFonts w:ascii="Times New Roman" w:hAnsi="Times New Roman"/>
                <w:b/>
                <w:bCs/>
                <w:color w:val="000000"/>
                <w:kern w:val="0"/>
                <w:sz w:val="18"/>
                <w:szCs w:val="18"/>
                <w:lang w:bidi="ar"/>
              </w:rPr>
              <w:t>二、委托街道和社区管护</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91.59</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91.59</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1,956.63</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40" w:lineRule="exact"/>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432"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其中：第二机电厂</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10.91</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10.91</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无成本</w:t>
            </w:r>
          </w:p>
        </w:tc>
      </w:tr>
      <w:tr>
        <w:tblPrEx>
          <w:tblCellMar>
            <w:top w:w="0" w:type="dxa"/>
            <w:left w:w="108" w:type="dxa"/>
            <w:bottom w:w="0" w:type="dxa"/>
            <w:right w:w="108" w:type="dxa"/>
          </w:tblCellMar>
        </w:tblPrEx>
        <w:trPr>
          <w:trHeight w:val="288"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540" w:firstLineChars="300"/>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桐木公司</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41.72</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41.72</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无成本</w:t>
            </w:r>
          </w:p>
        </w:tc>
      </w:tr>
      <w:tr>
        <w:tblPrEx>
          <w:tblCellMar>
            <w:top w:w="0" w:type="dxa"/>
            <w:left w:w="108" w:type="dxa"/>
            <w:bottom w:w="0" w:type="dxa"/>
            <w:right w:w="108" w:type="dxa"/>
          </w:tblCellMar>
        </w:tblPrEx>
        <w:trPr>
          <w:trHeight w:val="648"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540" w:firstLineChars="300"/>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长沙天鹿实业发展有限公司</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23.07</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23.07</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1,943.84</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40" w:lineRule="exact"/>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432"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540" w:firstLineChars="300"/>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兴隆山庄</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15.88</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15.88</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12.79</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原收购价款已结转至黄桥大道项目</w:t>
            </w:r>
          </w:p>
        </w:tc>
      </w:tr>
      <w:tr>
        <w:tblPrEx>
          <w:tblCellMar>
            <w:top w:w="0" w:type="dxa"/>
            <w:left w:w="108" w:type="dxa"/>
            <w:bottom w:w="0" w:type="dxa"/>
            <w:right w:w="108" w:type="dxa"/>
          </w:tblCellMar>
        </w:tblPrEx>
        <w:trPr>
          <w:trHeight w:val="432"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b/>
                <w:bCs/>
                <w:color w:val="000000"/>
                <w:sz w:val="18"/>
                <w:szCs w:val="18"/>
              </w:rPr>
            </w:pPr>
            <w:r>
              <w:rPr>
                <w:rFonts w:ascii="Times New Roman" w:hAnsi="Times New Roman"/>
                <w:b/>
                <w:bCs/>
                <w:color w:val="000000"/>
                <w:kern w:val="0"/>
                <w:sz w:val="18"/>
                <w:szCs w:val="18"/>
                <w:lang w:bidi="ar"/>
              </w:rPr>
              <w:t>三、移交使用管理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140.75</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36.97</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103.78</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20,244.12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2,000.00</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40" w:lineRule="exact"/>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432"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其中：白沙酒厂</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77.91</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77.91</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10,784.13</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40" w:lineRule="exact"/>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648"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540" w:firstLineChars="300"/>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原长特硬及补征地剩余土地</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12.84</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12.84</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无成本</w:t>
            </w:r>
          </w:p>
        </w:tc>
      </w:tr>
      <w:tr>
        <w:tblPrEx>
          <w:tblCellMar>
            <w:top w:w="0" w:type="dxa"/>
            <w:left w:w="108" w:type="dxa"/>
            <w:bottom w:w="0" w:type="dxa"/>
            <w:right w:w="108" w:type="dxa"/>
          </w:tblCellMar>
        </w:tblPrEx>
        <w:trPr>
          <w:trHeight w:val="432"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540" w:firstLineChars="300"/>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原电表厂用地及补征</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50.00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36.97</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13.03</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9,459.99</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2,000.00</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划拨教育用地，收回岳麓区财政2000万元</w:t>
            </w:r>
          </w:p>
        </w:tc>
      </w:tr>
      <w:tr>
        <w:tblPrEx>
          <w:tblCellMar>
            <w:top w:w="0" w:type="dxa"/>
            <w:left w:w="108" w:type="dxa"/>
            <w:bottom w:w="0" w:type="dxa"/>
            <w:right w:w="108" w:type="dxa"/>
          </w:tblCellMar>
        </w:tblPrEx>
        <w:trPr>
          <w:trHeight w:val="648"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b/>
                <w:bCs/>
                <w:color w:val="000000"/>
                <w:sz w:val="18"/>
                <w:szCs w:val="18"/>
              </w:rPr>
            </w:pPr>
            <w:r>
              <w:rPr>
                <w:rFonts w:ascii="Times New Roman" w:hAnsi="Times New Roman"/>
                <w:b/>
                <w:bCs/>
                <w:color w:val="000000"/>
                <w:kern w:val="0"/>
                <w:sz w:val="18"/>
                <w:szCs w:val="18"/>
                <w:lang w:bidi="ar"/>
              </w:rPr>
              <w:t>四、原用地单位管护</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124.17</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37.07</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12.88</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3,966.16</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4,012.56</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40" w:lineRule="exact"/>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648"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其中：咸嘉商住大楼及补征</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12.88</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12.88</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3,962.67</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40" w:lineRule="exact"/>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432"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540" w:firstLineChars="300"/>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湖南航天本部I期</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74.23</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3.49</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432"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540" w:firstLineChars="300"/>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新沙锅炉厂部分用地</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6.37</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6.37</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1,404.95</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挂牌出让价款2720万元，已结转成本</w:t>
            </w:r>
          </w:p>
        </w:tc>
      </w:tr>
      <w:tr>
        <w:tblPrEx>
          <w:tblCellMar>
            <w:top w:w="0" w:type="dxa"/>
            <w:left w:w="108" w:type="dxa"/>
            <w:bottom w:w="0" w:type="dxa"/>
            <w:right w:w="108" w:type="dxa"/>
          </w:tblCellMar>
        </w:tblPrEx>
        <w:trPr>
          <w:trHeight w:val="648"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540" w:firstLineChars="300"/>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农商行网点项目(5宗地）</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30.70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30.70</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2</w:t>
            </w:r>
            <w:r>
              <w:rPr>
                <w:rFonts w:hint="eastAsia" w:ascii="Times New Roman" w:hAnsi="Times New Roman"/>
                <w:color w:val="000000"/>
                <w:kern w:val="0"/>
                <w:sz w:val="18"/>
                <w:szCs w:val="18"/>
                <w:lang w:bidi="ar"/>
              </w:rPr>
              <w:t>,</w:t>
            </w:r>
            <w:r>
              <w:rPr>
                <w:rFonts w:ascii="Times New Roman" w:hAnsi="Times New Roman"/>
                <w:color w:val="000000"/>
                <w:kern w:val="0"/>
                <w:sz w:val="18"/>
                <w:szCs w:val="18"/>
                <w:lang w:bidi="ar"/>
              </w:rPr>
              <w:t>607.61</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挂牌出让价款4960万元，已结转成本</w:t>
            </w:r>
          </w:p>
        </w:tc>
      </w:tr>
      <w:tr>
        <w:tblPrEx>
          <w:tblCellMar>
            <w:top w:w="0" w:type="dxa"/>
            <w:left w:w="108" w:type="dxa"/>
            <w:bottom w:w="0" w:type="dxa"/>
            <w:right w:w="108" w:type="dxa"/>
          </w:tblCellMar>
        </w:tblPrEx>
        <w:trPr>
          <w:trHeight w:val="432"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b/>
                <w:bCs/>
                <w:color w:val="000000"/>
                <w:sz w:val="18"/>
                <w:szCs w:val="18"/>
              </w:rPr>
            </w:pPr>
            <w:r>
              <w:rPr>
                <w:rFonts w:ascii="Times New Roman" w:hAnsi="Times New Roman"/>
                <w:b/>
                <w:bCs/>
                <w:color w:val="000000"/>
                <w:kern w:val="0"/>
                <w:sz w:val="18"/>
                <w:szCs w:val="18"/>
                <w:lang w:bidi="ar"/>
              </w:rPr>
              <w:t>五、其他项目</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59.93</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59.93</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6.79</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17.45</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rPr>
                <w:rFonts w:ascii="Times New Roman" w:hAnsi="Times New Roman"/>
                <w:color w:val="000000"/>
                <w:sz w:val="18"/>
                <w:szCs w:val="18"/>
              </w:rPr>
            </w:pPr>
          </w:p>
        </w:tc>
      </w:tr>
      <w:tr>
        <w:tblPrEx>
          <w:tblCellMar>
            <w:top w:w="0" w:type="dxa"/>
            <w:left w:w="108" w:type="dxa"/>
            <w:bottom w:w="0" w:type="dxa"/>
            <w:right w:w="108" w:type="dxa"/>
          </w:tblCellMar>
        </w:tblPrEx>
        <w:trPr>
          <w:trHeight w:val="648"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其中：惠安医疗公司地块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17.45</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2020年出让划拨完成，2021年结转成本</w:t>
            </w:r>
          </w:p>
        </w:tc>
      </w:tr>
      <w:tr>
        <w:tblPrEx>
          <w:tblCellMar>
            <w:top w:w="0" w:type="dxa"/>
            <w:left w:w="108" w:type="dxa"/>
            <w:bottom w:w="0" w:type="dxa"/>
            <w:right w:w="108" w:type="dxa"/>
          </w:tblCellMar>
        </w:tblPrEx>
        <w:trPr>
          <w:trHeight w:val="432"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360" w:firstLineChars="200"/>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极锐世界地块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59.93</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59.93</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sz w:val="18"/>
                <w:szCs w:val="18"/>
              </w:rPr>
            </w:pPr>
            <w:r>
              <w:rPr>
                <w:rFonts w:ascii="Times New Roman" w:hAnsi="Times New Roman"/>
                <w:color w:val="000000"/>
                <w:kern w:val="0"/>
                <w:sz w:val="18"/>
                <w:szCs w:val="18"/>
                <w:lang w:bidi="ar"/>
              </w:rPr>
              <w:t>6.79</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color w:val="000000"/>
                <w:sz w:val="18"/>
                <w:szCs w:val="18"/>
              </w:rPr>
            </w:pPr>
            <w:r>
              <w:rPr>
                <w:rFonts w:ascii="Times New Roman" w:hAnsi="Times New Roman"/>
                <w:color w:val="000000"/>
                <w:kern w:val="0"/>
                <w:sz w:val="18"/>
                <w:szCs w:val="18"/>
                <w:lang w:bidi="ar"/>
              </w:rPr>
              <w:t>平台公司管护</w:t>
            </w:r>
          </w:p>
        </w:tc>
      </w:tr>
      <w:tr>
        <w:tblPrEx>
          <w:tblCellMar>
            <w:top w:w="0" w:type="dxa"/>
            <w:left w:w="108" w:type="dxa"/>
            <w:bottom w:w="0" w:type="dxa"/>
            <w:right w:w="108" w:type="dxa"/>
          </w:tblCellMar>
        </w:tblPrEx>
        <w:trPr>
          <w:trHeight w:val="432" w:hRule="atLeast"/>
        </w:trPr>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360" w:firstLineChars="200"/>
              <w:jc w:val="left"/>
              <w:textAlignment w:val="center"/>
              <w:rPr>
                <w:rFonts w:ascii="Times New Roman" w:hAnsi="Times New Roman"/>
                <w:color w:val="000000"/>
                <w:kern w:val="0"/>
                <w:sz w:val="18"/>
                <w:szCs w:val="18"/>
                <w:lang w:bidi="ar"/>
              </w:rPr>
            </w:pPr>
            <w:r>
              <w:rPr>
                <w:rFonts w:hint="eastAsia" w:ascii="Times New Roman" w:hAnsi="Times New Roman"/>
                <w:color w:val="000000"/>
                <w:kern w:val="0"/>
                <w:sz w:val="18"/>
                <w:szCs w:val="18"/>
                <w:lang w:bidi="ar"/>
              </w:rPr>
              <w:t>合计</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kern w:val="0"/>
                <w:sz w:val="18"/>
                <w:szCs w:val="18"/>
                <w:lang w:bidi="ar"/>
              </w:rPr>
            </w:pPr>
            <w:r>
              <w:rPr>
                <w:rFonts w:hint="eastAsia" w:ascii="Times New Roman" w:hAnsi="Times New Roman"/>
                <w:color w:val="000000"/>
                <w:kern w:val="0"/>
                <w:sz w:val="18"/>
                <w:szCs w:val="18"/>
                <w:lang w:bidi="ar"/>
              </w:rPr>
              <w:t>671.33</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r>
              <w:rPr>
                <w:rFonts w:hint="eastAsia" w:ascii="Times New Roman" w:hAnsi="Times New Roman"/>
                <w:color w:val="000000"/>
                <w:sz w:val="18"/>
                <w:szCs w:val="18"/>
              </w:rPr>
              <w:t>105.77</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kern w:val="0"/>
                <w:sz w:val="18"/>
                <w:szCs w:val="18"/>
                <w:lang w:bidi="ar"/>
              </w:rPr>
            </w:pPr>
            <w:r>
              <w:rPr>
                <w:rFonts w:hint="eastAsia" w:ascii="Times New Roman" w:hAnsi="Times New Roman"/>
                <w:color w:val="000000"/>
                <w:kern w:val="0"/>
                <w:sz w:val="18"/>
                <w:szCs w:val="18"/>
                <w:lang w:bidi="ar"/>
              </w:rPr>
              <w:t>566.43</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ascii="Times New Roman" w:hAnsi="Times New Roman"/>
                <w:color w:val="000000"/>
                <w:kern w:val="0"/>
                <w:sz w:val="18"/>
                <w:szCs w:val="18"/>
                <w:lang w:bidi="ar"/>
              </w:rPr>
            </w:pPr>
            <w:r>
              <w:rPr>
                <w:rFonts w:hint="eastAsia" w:ascii="Times New Roman" w:hAnsi="Times New Roman"/>
                <w:color w:val="000000"/>
                <w:kern w:val="0"/>
                <w:sz w:val="18"/>
                <w:szCs w:val="18"/>
                <w:lang w:bidi="ar"/>
              </w:rPr>
              <w:t>28,696.75</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right"/>
              <w:rPr>
                <w:rFonts w:ascii="Times New Roman" w:hAnsi="Times New Roman"/>
                <w:color w:val="000000"/>
                <w:sz w:val="18"/>
                <w:szCs w:val="18"/>
              </w:rPr>
            </w:pPr>
            <w:r>
              <w:rPr>
                <w:rFonts w:hint="eastAsia" w:ascii="Times New Roman" w:hAnsi="Times New Roman"/>
                <w:color w:val="000000"/>
                <w:sz w:val="18"/>
                <w:szCs w:val="18"/>
              </w:rPr>
              <w:t>7,271.38</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color w:val="000000"/>
                <w:kern w:val="0"/>
                <w:sz w:val="18"/>
                <w:szCs w:val="18"/>
                <w:lang w:bidi="ar"/>
              </w:rPr>
            </w:pPr>
          </w:p>
        </w:tc>
      </w:tr>
    </w:tbl>
    <w:p>
      <w:pPr>
        <w:autoSpaceDE w:val="0"/>
        <w:spacing w:line="540" w:lineRule="exact"/>
        <w:ind w:firstLine="600" w:firstLineChars="200"/>
        <w:rPr>
          <w:rFonts w:ascii="Times New Roman" w:hAnsi="Times New Roman" w:eastAsia="仿宋_GB2312"/>
          <w:spacing w:val="-10"/>
          <w:sz w:val="32"/>
          <w:szCs w:val="32"/>
        </w:rPr>
      </w:pPr>
      <w:r>
        <w:rPr>
          <w:rFonts w:hint="eastAsia" w:ascii="仿宋" w:hAnsi="仿宋" w:eastAsia="仿宋" w:cs="仿宋"/>
          <w:spacing w:val="-10"/>
          <w:sz w:val="32"/>
          <w:szCs w:val="32"/>
        </w:rPr>
        <w:t>新区土储中心积极有序推进了耕地指标购买，保障了新区耕补指标需求。专项资金购买及占补指标情况见下表：</w:t>
      </w:r>
      <w:r>
        <w:rPr>
          <w:rStyle w:val="16"/>
          <w:rFonts w:hint="eastAsia"/>
        </w:rPr>
        <w:t>（</w:t>
      </w:r>
      <w:r>
        <w:rPr>
          <w:rFonts w:hint="eastAsia" w:ascii="仿宋" w:hAnsi="仿宋" w:eastAsia="仿宋" w:cs="仿宋"/>
          <w:kern w:val="0"/>
          <w:sz w:val="24"/>
          <w:lang w:bidi="ar"/>
        </w:rPr>
        <w:t>单位：公顷、万元</w:t>
      </w:r>
      <w:r>
        <w:rPr>
          <w:rStyle w:val="16"/>
          <w:rFonts w:hint="eastAsia"/>
        </w:rPr>
        <w:t>）</w:t>
      </w:r>
    </w:p>
    <w:tbl>
      <w:tblPr>
        <w:tblStyle w:val="13"/>
        <w:tblpPr w:leftFromText="180" w:rightFromText="180" w:vertAnchor="text" w:horzAnchor="page" w:tblpX="1631" w:tblpY="298"/>
        <w:tblOverlap w:val="never"/>
        <w:tblW w:w="9079" w:type="dxa"/>
        <w:tblInd w:w="0" w:type="dxa"/>
        <w:tblLayout w:type="fixed"/>
        <w:tblCellMar>
          <w:top w:w="0" w:type="dxa"/>
          <w:left w:w="108" w:type="dxa"/>
          <w:bottom w:w="0" w:type="dxa"/>
          <w:right w:w="108" w:type="dxa"/>
        </w:tblCellMar>
      </w:tblPr>
      <w:tblGrid>
        <w:gridCol w:w="1372"/>
        <w:gridCol w:w="1178"/>
        <w:gridCol w:w="894"/>
        <w:gridCol w:w="1113"/>
        <w:gridCol w:w="1168"/>
        <w:gridCol w:w="1101"/>
        <w:gridCol w:w="60"/>
        <w:gridCol w:w="1162"/>
        <w:gridCol w:w="1031"/>
      </w:tblGrid>
      <w:tr>
        <w:tblPrEx>
          <w:tblCellMar>
            <w:top w:w="0" w:type="dxa"/>
            <w:left w:w="108" w:type="dxa"/>
            <w:bottom w:w="0" w:type="dxa"/>
            <w:right w:w="108" w:type="dxa"/>
          </w:tblCellMar>
        </w:tblPrEx>
        <w:trPr>
          <w:trHeight w:val="240" w:hRule="atLeast"/>
          <w:tblHeader/>
        </w:trPr>
        <w:tc>
          <w:tcPr>
            <w:tcW w:w="137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项目名称</w:t>
            </w:r>
          </w:p>
        </w:tc>
        <w:tc>
          <w:tcPr>
            <w:tcW w:w="3185"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color w:val="000000"/>
                <w:kern w:val="0"/>
                <w:sz w:val="18"/>
                <w:szCs w:val="18"/>
                <w:lang w:bidi="ar"/>
              </w:rPr>
            </w:pPr>
            <w:r>
              <w:rPr>
                <w:rFonts w:ascii="Times New Roman" w:hAnsi="Times New Roman"/>
                <w:kern w:val="0"/>
                <w:sz w:val="18"/>
                <w:szCs w:val="18"/>
                <w:lang w:bidi="ar"/>
              </w:rPr>
              <w:t>网挂指标</w:t>
            </w:r>
          </w:p>
        </w:tc>
        <w:tc>
          <w:tcPr>
            <w:tcW w:w="4522" w:type="dxa"/>
            <w:gridSpan w:val="5"/>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color w:val="000000"/>
                <w:kern w:val="0"/>
                <w:sz w:val="18"/>
                <w:szCs w:val="18"/>
                <w:lang w:bidi="ar"/>
              </w:rPr>
            </w:pPr>
            <w:r>
              <w:rPr>
                <w:rFonts w:ascii="Times New Roman" w:hAnsi="Times New Roman"/>
                <w:kern w:val="0"/>
                <w:sz w:val="18"/>
                <w:szCs w:val="18"/>
                <w:lang w:bidi="ar"/>
              </w:rPr>
              <w:t>增减挂指标</w:t>
            </w:r>
          </w:p>
        </w:tc>
      </w:tr>
      <w:tr>
        <w:tblPrEx>
          <w:tblCellMar>
            <w:top w:w="0" w:type="dxa"/>
            <w:left w:w="108" w:type="dxa"/>
            <w:bottom w:w="0" w:type="dxa"/>
            <w:right w:w="108" w:type="dxa"/>
          </w:tblCellMar>
        </w:tblPrEx>
        <w:trPr>
          <w:trHeight w:val="240" w:hRule="atLeast"/>
          <w:tblHeader/>
        </w:trPr>
        <w:tc>
          <w:tcPr>
            <w:tcW w:w="137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textAlignment w:val="center"/>
              <w:rPr>
                <w:rFonts w:ascii="Times New Roman" w:hAnsi="Times New Roman"/>
                <w:color w:val="000000"/>
                <w:kern w:val="0"/>
                <w:sz w:val="18"/>
                <w:szCs w:val="18"/>
                <w:lang w:bidi="ar"/>
              </w:rPr>
            </w:pPr>
          </w:p>
        </w:tc>
        <w:tc>
          <w:tcPr>
            <w:tcW w:w="3185"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color w:val="000000"/>
                <w:kern w:val="0"/>
                <w:sz w:val="18"/>
                <w:szCs w:val="18"/>
                <w:lang w:bidi="ar"/>
              </w:rPr>
            </w:pPr>
          </w:p>
        </w:tc>
        <w:tc>
          <w:tcPr>
            <w:tcW w:w="4522" w:type="dxa"/>
            <w:gridSpan w:val="5"/>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color w:val="000000"/>
                <w:kern w:val="0"/>
                <w:sz w:val="18"/>
                <w:szCs w:val="18"/>
                <w:lang w:bidi="ar"/>
              </w:rPr>
            </w:pPr>
          </w:p>
        </w:tc>
      </w:tr>
      <w:tr>
        <w:tblPrEx>
          <w:tblCellMar>
            <w:top w:w="0" w:type="dxa"/>
            <w:left w:w="108" w:type="dxa"/>
            <w:bottom w:w="0" w:type="dxa"/>
            <w:right w:w="108" w:type="dxa"/>
          </w:tblCellMar>
        </w:tblPrEx>
        <w:trPr>
          <w:trHeight w:val="227" w:hRule="atLeast"/>
          <w:tblHeader/>
        </w:trPr>
        <w:tc>
          <w:tcPr>
            <w:tcW w:w="137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textAlignment w:val="center"/>
              <w:rPr>
                <w:rFonts w:ascii="Times New Roman" w:hAnsi="Times New Roman"/>
                <w:color w:val="000000"/>
                <w:kern w:val="0"/>
                <w:sz w:val="18"/>
                <w:szCs w:val="18"/>
                <w:lang w:bidi="ar"/>
              </w:rPr>
            </w:pPr>
          </w:p>
        </w:tc>
        <w:tc>
          <w:tcPr>
            <w:tcW w:w="2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ascii="Times New Roman" w:hAnsi="Times New Roman"/>
                <w:color w:val="000000"/>
                <w:kern w:val="0"/>
                <w:sz w:val="18"/>
                <w:szCs w:val="18"/>
                <w:lang w:bidi="ar"/>
              </w:rPr>
            </w:pPr>
            <w:r>
              <w:rPr>
                <w:rFonts w:ascii="Times New Roman" w:hAnsi="Times New Roman"/>
                <w:kern w:val="0"/>
                <w:sz w:val="18"/>
                <w:szCs w:val="18"/>
                <w:lang w:bidi="ar"/>
              </w:rPr>
              <w:t>类型</w:t>
            </w:r>
          </w:p>
        </w:tc>
        <w:tc>
          <w:tcPr>
            <w:tcW w:w="11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ascii="Times New Roman" w:hAnsi="Times New Roman"/>
                <w:sz w:val="18"/>
                <w:szCs w:val="18"/>
              </w:rPr>
            </w:pPr>
            <w:r>
              <w:rPr>
                <w:rFonts w:ascii="Times New Roman" w:hAnsi="Times New Roman"/>
                <w:kern w:val="0"/>
                <w:sz w:val="18"/>
                <w:szCs w:val="18"/>
                <w:lang w:bidi="ar"/>
              </w:rPr>
              <w:t>账面价值</w:t>
            </w:r>
          </w:p>
        </w:tc>
        <w:tc>
          <w:tcPr>
            <w:tcW w:w="34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ascii="Times New Roman" w:hAnsi="Times New Roman"/>
                <w:color w:val="000000"/>
                <w:kern w:val="0"/>
                <w:sz w:val="18"/>
                <w:szCs w:val="18"/>
                <w:lang w:bidi="ar"/>
              </w:rPr>
            </w:pPr>
            <w:r>
              <w:rPr>
                <w:rFonts w:hint="eastAsia" w:ascii="Times New Roman" w:hAnsi="Times New Roman"/>
                <w:kern w:val="0"/>
                <w:sz w:val="18"/>
                <w:szCs w:val="18"/>
                <w:lang w:bidi="ar"/>
              </w:rPr>
              <w:t>类型</w:t>
            </w:r>
          </w:p>
        </w:tc>
        <w:tc>
          <w:tcPr>
            <w:tcW w:w="103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Times New Roman" w:hAnsi="Times New Roman"/>
                <w:sz w:val="18"/>
                <w:szCs w:val="18"/>
              </w:rPr>
            </w:pPr>
            <w:r>
              <w:rPr>
                <w:rFonts w:ascii="Times New Roman" w:hAnsi="Times New Roman"/>
                <w:kern w:val="0"/>
                <w:sz w:val="18"/>
                <w:szCs w:val="18"/>
                <w:lang w:bidi="ar"/>
              </w:rPr>
              <w:t>账面价值</w:t>
            </w:r>
          </w:p>
        </w:tc>
      </w:tr>
      <w:tr>
        <w:tblPrEx>
          <w:tblCellMar>
            <w:top w:w="0" w:type="dxa"/>
            <w:left w:w="108" w:type="dxa"/>
            <w:bottom w:w="0" w:type="dxa"/>
            <w:right w:w="108" w:type="dxa"/>
          </w:tblCellMar>
        </w:tblPrEx>
        <w:trPr>
          <w:trHeight w:val="227" w:hRule="atLeast"/>
          <w:tblHeader/>
        </w:trPr>
        <w:tc>
          <w:tcPr>
            <w:tcW w:w="137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textAlignment w:val="center"/>
              <w:rPr>
                <w:rFonts w:ascii="Times New Roman" w:hAnsi="Times New Roman"/>
                <w:color w:val="000000"/>
                <w:kern w:val="0"/>
                <w:sz w:val="18"/>
                <w:szCs w:val="18"/>
                <w:lang w:bidi="ar"/>
              </w:rPr>
            </w:pP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ascii="Times New Roman" w:hAnsi="Times New Roman"/>
                <w:color w:val="000000"/>
                <w:kern w:val="0"/>
                <w:sz w:val="18"/>
                <w:szCs w:val="18"/>
                <w:lang w:bidi="ar"/>
              </w:rPr>
            </w:pPr>
            <w:r>
              <w:rPr>
                <w:rFonts w:ascii="Times New Roman" w:hAnsi="Times New Roman"/>
                <w:kern w:val="0"/>
                <w:sz w:val="18"/>
                <w:szCs w:val="18"/>
                <w:lang w:bidi="ar"/>
              </w:rPr>
              <w:t>旱改水</w:t>
            </w:r>
          </w:p>
        </w:tc>
        <w:tc>
          <w:tcPr>
            <w:tcW w:w="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ascii="Times New Roman" w:hAnsi="Times New Roman"/>
                <w:sz w:val="18"/>
                <w:szCs w:val="18"/>
              </w:rPr>
            </w:pPr>
            <w:r>
              <w:rPr>
                <w:rFonts w:ascii="Times New Roman" w:hAnsi="Times New Roman"/>
                <w:kern w:val="0"/>
                <w:sz w:val="18"/>
                <w:szCs w:val="18"/>
                <w:lang w:bidi="ar"/>
              </w:rPr>
              <w:t>旱地</w:t>
            </w:r>
          </w:p>
        </w:tc>
        <w:tc>
          <w:tcPr>
            <w:tcW w:w="11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imes New Roman" w:hAnsi="Times New Roman"/>
                <w:sz w:val="18"/>
                <w:szCs w:val="18"/>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ascii="Times New Roman" w:hAnsi="Times New Roman"/>
                <w:color w:val="000000"/>
                <w:kern w:val="0"/>
                <w:sz w:val="18"/>
                <w:szCs w:val="18"/>
                <w:lang w:bidi="ar"/>
              </w:rPr>
            </w:pPr>
            <w:r>
              <w:rPr>
                <w:rFonts w:ascii="Times New Roman" w:hAnsi="Times New Roman"/>
                <w:kern w:val="0"/>
                <w:sz w:val="18"/>
                <w:szCs w:val="18"/>
                <w:lang w:bidi="ar"/>
              </w:rPr>
              <w:t>旱改水</w:t>
            </w:r>
          </w:p>
        </w:tc>
        <w:tc>
          <w:tcPr>
            <w:tcW w:w="1161" w:type="dxa"/>
            <w:gridSpan w:val="2"/>
            <w:tcBorders>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color w:val="000000"/>
                <w:kern w:val="0"/>
                <w:sz w:val="18"/>
                <w:szCs w:val="18"/>
                <w:lang w:bidi="ar"/>
              </w:rPr>
            </w:pPr>
            <w:r>
              <w:rPr>
                <w:rFonts w:ascii="Times New Roman" w:hAnsi="Times New Roman"/>
                <w:kern w:val="0"/>
                <w:sz w:val="18"/>
                <w:szCs w:val="18"/>
                <w:lang w:bidi="ar"/>
              </w:rPr>
              <w:t>旱地</w:t>
            </w:r>
          </w:p>
        </w:tc>
        <w:tc>
          <w:tcPr>
            <w:tcW w:w="1162" w:type="dxa"/>
            <w:tcBorders>
              <w:left w:val="single" w:color="auto" w:sz="4" w:space="0"/>
              <w:bottom w:val="single" w:color="auto" w:sz="4" w:space="0"/>
              <w:right w:val="single" w:color="auto" w:sz="4" w:space="0"/>
            </w:tcBorders>
            <w:shd w:val="clear" w:color="auto" w:fill="auto"/>
            <w:vAlign w:val="center"/>
          </w:tcPr>
          <w:p>
            <w:pPr>
              <w:spacing w:line="240" w:lineRule="exact"/>
              <w:jc w:val="center"/>
              <w:rPr>
                <w:rFonts w:ascii="Times New Roman" w:hAnsi="Times New Roman"/>
                <w:color w:val="000000"/>
                <w:kern w:val="0"/>
                <w:sz w:val="18"/>
                <w:szCs w:val="18"/>
                <w:lang w:bidi="ar"/>
              </w:rPr>
            </w:pPr>
            <w:r>
              <w:rPr>
                <w:rFonts w:ascii="Times New Roman" w:hAnsi="Times New Roman"/>
                <w:kern w:val="0"/>
                <w:sz w:val="18"/>
                <w:szCs w:val="18"/>
                <w:lang w:bidi="ar"/>
              </w:rPr>
              <w:t>其他农用地</w:t>
            </w: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sz w:val="18"/>
                <w:szCs w:val="18"/>
              </w:rPr>
            </w:pPr>
          </w:p>
        </w:tc>
      </w:tr>
      <w:tr>
        <w:tblPrEx>
          <w:tblCellMar>
            <w:top w:w="0" w:type="dxa"/>
            <w:left w:w="108" w:type="dxa"/>
            <w:bottom w:w="0" w:type="dxa"/>
            <w:right w:w="108" w:type="dxa"/>
          </w:tblCellMar>
        </w:tblPrEx>
        <w:trPr>
          <w:trHeight w:val="227" w:hRule="atLeast"/>
        </w:trPr>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2021年年初库存指标</w:t>
            </w:r>
          </w:p>
        </w:tc>
        <w:tc>
          <w:tcPr>
            <w:tcW w:w="11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color w:val="000000"/>
                <w:kern w:val="0"/>
                <w:sz w:val="18"/>
                <w:szCs w:val="18"/>
                <w:lang w:bidi="ar"/>
              </w:rPr>
            </w:pPr>
            <w:r>
              <w:rPr>
                <w:rFonts w:ascii="Times New Roman" w:hAnsi="Times New Roman"/>
                <w:kern w:val="0"/>
                <w:sz w:val="18"/>
                <w:szCs w:val="18"/>
                <w:lang w:bidi="ar"/>
              </w:rPr>
              <w:t xml:space="preserve"> 262.3820 </w:t>
            </w:r>
          </w:p>
        </w:tc>
        <w:tc>
          <w:tcPr>
            <w:tcW w:w="8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sz w:val="18"/>
                <w:szCs w:val="18"/>
              </w:rPr>
            </w:pPr>
            <w:r>
              <w:rPr>
                <w:rFonts w:ascii="Times New Roman" w:hAnsi="Times New Roman"/>
                <w:kern w:val="0"/>
                <w:sz w:val="18"/>
                <w:szCs w:val="18"/>
                <w:lang w:bidi="ar"/>
              </w:rPr>
              <w:t>　</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sz w:val="18"/>
                <w:szCs w:val="18"/>
              </w:rPr>
            </w:pPr>
            <w:r>
              <w:rPr>
                <w:rFonts w:ascii="Times New Roman" w:hAnsi="Times New Roman"/>
                <w:kern w:val="0"/>
                <w:sz w:val="18"/>
                <w:szCs w:val="18"/>
                <w:lang w:bidi="ar"/>
              </w:rPr>
              <w:t>22,964.86</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color w:val="000000"/>
                <w:kern w:val="0"/>
                <w:sz w:val="18"/>
                <w:szCs w:val="18"/>
                <w:lang w:bidi="ar"/>
              </w:rPr>
            </w:pPr>
            <w:r>
              <w:rPr>
                <w:rFonts w:ascii="Times New Roman" w:hAnsi="Times New Roman"/>
                <w:kern w:val="0"/>
                <w:sz w:val="18"/>
                <w:szCs w:val="18"/>
                <w:lang w:bidi="ar"/>
              </w:rPr>
              <w:t xml:space="preserve"> 18.9927 </w:t>
            </w:r>
          </w:p>
        </w:tc>
        <w:tc>
          <w:tcPr>
            <w:tcW w:w="11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color w:val="000000"/>
                <w:kern w:val="0"/>
                <w:sz w:val="18"/>
                <w:szCs w:val="18"/>
                <w:lang w:bidi="ar"/>
              </w:rPr>
            </w:pPr>
            <w:r>
              <w:rPr>
                <w:rFonts w:ascii="Times New Roman" w:hAnsi="Times New Roman"/>
                <w:kern w:val="0"/>
                <w:sz w:val="18"/>
                <w:szCs w:val="18"/>
                <w:lang w:bidi="ar"/>
              </w:rPr>
              <w:t xml:space="preserve"> 70.1477 </w:t>
            </w:r>
          </w:p>
        </w:tc>
        <w:tc>
          <w:tcPr>
            <w:tcW w:w="12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color w:val="000000"/>
                <w:kern w:val="0"/>
                <w:sz w:val="18"/>
                <w:szCs w:val="18"/>
                <w:lang w:bidi="ar"/>
              </w:rPr>
            </w:pPr>
            <w:r>
              <w:rPr>
                <w:rFonts w:ascii="Times New Roman" w:hAnsi="Times New Roman"/>
                <w:kern w:val="0"/>
                <w:sz w:val="18"/>
                <w:szCs w:val="18"/>
                <w:lang w:bidi="ar"/>
              </w:rPr>
              <w:t>16.8766</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sz w:val="18"/>
                <w:szCs w:val="18"/>
              </w:rPr>
            </w:pPr>
            <w:r>
              <w:rPr>
                <w:rFonts w:ascii="Times New Roman" w:hAnsi="Times New Roman"/>
                <w:kern w:val="0"/>
                <w:sz w:val="18"/>
                <w:szCs w:val="18"/>
                <w:lang w:bidi="ar"/>
              </w:rPr>
              <w:t>33,354.28</w:t>
            </w:r>
          </w:p>
        </w:tc>
      </w:tr>
      <w:tr>
        <w:tblPrEx>
          <w:tblCellMar>
            <w:top w:w="0" w:type="dxa"/>
            <w:left w:w="108" w:type="dxa"/>
            <w:bottom w:w="0" w:type="dxa"/>
            <w:right w:w="108" w:type="dxa"/>
          </w:tblCellMar>
        </w:tblPrEx>
        <w:trPr>
          <w:trHeight w:val="227" w:hRule="atLeast"/>
        </w:trPr>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2021年购入指标（或退回）</w:t>
            </w:r>
          </w:p>
        </w:tc>
        <w:tc>
          <w:tcPr>
            <w:tcW w:w="11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eastAsia="仿宋_GB2312"/>
                <w:color w:val="000000"/>
                <w:kern w:val="0"/>
                <w:sz w:val="18"/>
                <w:szCs w:val="18"/>
                <w:lang w:bidi="ar"/>
              </w:rPr>
            </w:pPr>
            <w:r>
              <w:rPr>
                <w:rFonts w:ascii="Times New Roman" w:hAnsi="Times New Roman" w:eastAsia="仿宋_GB2312"/>
                <w:kern w:val="0"/>
                <w:sz w:val="18"/>
                <w:szCs w:val="18"/>
                <w:lang w:bidi="ar"/>
              </w:rPr>
              <w:t xml:space="preserve">  79.20 </w:t>
            </w:r>
          </w:p>
        </w:tc>
        <w:tc>
          <w:tcPr>
            <w:tcW w:w="8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eastAsia="仿宋_GB2312"/>
                <w:sz w:val="18"/>
                <w:szCs w:val="18"/>
              </w:rPr>
            </w:pPr>
            <w:r>
              <w:rPr>
                <w:rFonts w:ascii="Times New Roman" w:hAnsi="Times New Roman" w:eastAsia="仿宋_GB2312"/>
                <w:kern w:val="0"/>
                <w:sz w:val="18"/>
                <w:szCs w:val="18"/>
                <w:lang w:bidi="ar"/>
              </w:rPr>
              <w:t xml:space="preserve"> 40.00 </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eastAsia="仿宋_GB2312"/>
                <w:sz w:val="18"/>
                <w:szCs w:val="18"/>
              </w:rPr>
            </w:pPr>
            <w:r>
              <w:rPr>
                <w:rFonts w:ascii="Times New Roman" w:hAnsi="Times New Roman" w:eastAsia="仿宋_GB2312"/>
                <w:kern w:val="0"/>
                <w:sz w:val="18"/>
                <w:szCs w:val="18"/>
                <w:lang w:bidi="ar"/>
              </w:rPr>
              <w:t>8,718.00</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eastAsia="仿宋_GB2312"/>
                <w:color w:val="000000"/>
                <w:kern w:val="0"/>
                <w:sz w:val="18"/>
                <w:szCs w:val="18"/>
                <w:lang w:bidi="ar"/>
              </w:rPr>
            </w:pPr>
            <w:r>
              <w:rPr>
                <w:rFonts w:ascii="Times New Roman" w:hAnsi="Times New Roman" w:eastAsia="仿宋_GB2312"/>
                <w:kern w:val="0"/>
                <w:sz w:val="18"/>
                <w:szCs w:val="18"/>
                <w:lang w:bidi="ar"/>
              </w:rPr>
              <w:t>　</w:t>
            </w:r>
          </w:p>
        </w:tc>
        <w:tc>
          <w:tcPr>
            <w:tcW w:w="11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eastAsia="仿宋_GB2312"/>
                <w:color w:val="000000"/>
                <w:kern w:val="0"/>
                <w:sz w:val="18"/>
                <w:szCs w:val="18"/>
                <w:lang w:bidi="ar"/>
              </w:rPr>
            </w:pPr>
            <w:r>
              <w:rPr>
                <w:rFonts w:ascii="Times New Roman" w:hAnsi="Times New Roman" w:eastAsia="仿宋_GB2312"/>
                <w:kern w:val="0"/>
                <w:sz w:val="18"/>
                <w:szCs w:val="18"/>
                <w:lang w:bidi="ar"/>
              </w:rPr>
              <w:t xml:space="preserve">   -     </w:t>
            </w:r>
          </w:p>
        </w:tc>
        <w:tc>
          <w:tcPr>
            <w:tcW w:w="12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eastAsia="仿宋_GB2312"/>
                <w:color w:val="000000"/>
                <w:kern w:val="0"/>
                <w:sz w:val="18"/>
                <w:szCs w:val="18"/>
                <w:lang w:bidi="ar"/>
              </w:rPr>
            </w:pPr>
            <w:r>
              <w:rPr>
                <w:rFonts w:ascii="Times New Roman" w:hAnsi="Times New Roman" w:eastAsia="仿宋_GB2312"/>
                <w:kern w:val="0"/>
                <w:sz w:val="18"/>
                <w:szCs w:val="18"/>
                <w:lang w:bidi="ar"/>
              </w:rPr>
              <w:t>　</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eastAsia="仿宋_GB2312"/>
                <w:sz w:val="18"/>
                <w:szCs w:val="18"/>
              </w:rPr>
            </w:pPr>
            <w:r>
              <w:rPr>
                <w:rFonts w:ascii="Times New Roman" w:hAnsi="Times New Roman" w:eastAsia="仿宋_GB2312"/>
                <w:kern w:val="0"/>
                <w:sz w:val="18"/>
                <w:szCs w:val="18"/>
                <w:lang w:bidi="ar"/>
              </w:rPr>
              <w:t>　</w:t>
            </w:r>
          </w:p>
        </w:tc>
      </w:tr>
      <w:tr>
        <w:tblPrEx>
          <w:tblCellMar>
            <w:top w:w="0" w:type="dxa"/>
            <w:left w:w="108" w:type="dxa"/>
            <w:bottom w:w="0" w:type="dxa"/>
            <w:right w:w="108" w:type="dxa"/>
          </w:tblCellMar>
        </w:tblPrEx>
        <w:trPr>
          <w:trHeight w:val="227" w:hRule="atLeast"/>
        </w:trPr>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2021年度项目占用指标</w:t>
            </w:r>
          </w:p>
        </w:tc>
        <w:tc>
          <w:tcPr>
            <w:tcW w:w="11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eastAsia="仿宋_GB2312"/>
                <w:color w:val="000000"/>
                <w:kern w:val="0"/>
                <w:sz w:val="18"/>
                <w:szCs w:val="18"/>
                <w:lang w:bidi="ar"/>
              </w:rPr>
            </w:pPr>
            <w:r>
              <w:rPr>
                <w:rFonts w:ascii="Times New Roman" w:hAnsi="Times New Roman" w:eastAsia="仿宋_GB2312"/>
                <w:kern w:val="0"/>
                <w:sz w:val="18"/>
                <w:szCs w:val="18"/>
                <w:lang w:bidi="ar"/>
              </w:rPr>
              <w:t xml:space="preserve">  91.6498 </w:t>
            </w:r>
          </w:p>
        </w:tc>
        <w:tc>
          <w:tcPr>
            <w:tcW w:w="8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eastAsia="仿宋_GB2312"/>
                <w:sz w:val="18"/>
                <w:szCs w:val="18"/>
              </w:rPr>
            </w:pPr>
            <w:r>
              <w:rPr>
                <w:rFonts w:ascii="Times New Roman" w:hAnsi="Times New Roman" w:eastAsia="仿宋_GB2312"/>
                <w:kern w:val="0"/>
                <w:sz w:val="18"/>
                <w:szCs w:val="18"/>
                <w:lang w:bidi="ar"/>
              </w:rPr>
              <w:t>　</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eastAsia="仿宋_GB2312"/>
                <w:sz w:val="18"/>
                <w:szCs w:val="18"/>
              </w:rPr>
            </w:pPr>
            <w:r>
              <w:rPr>
                <w:rFonts w:ascii="Times New Roman" w:hAnsi="Times New Roman" w:eastAsia="仿宋_GB2312"/>
                <w:kern w:val="0"/>
                <w:sz w:val="18"/>
                <w:szCs w:val="18"/>
                <w:lang w:bidi="ar"/>
              </w:rPr>
              <w:t>8,580.95</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eastAsia="仿宋_GB2312"/>
                <w:color w:val="000000"/>
                <w:kern w:val="0"/>
                <w:sz w:val="18"/>
                <w:szCs w:val="18"/>
                <w:lang w:bidi="ar"/>
              </w:rPr>
            </w:pPr>
            <w:r>
              <w:rPr>
                <w:rFonts w:ascii="Times New Roman" w:hAnsi="Times New Roman" w:eastAsia="仿宋_GB2312"/>
                <w:kern w:val="0"/>
                <w:sz w:val="18"/>
                <w:szCs w:val="18"/>
                <w:lang w:bidi="ar"/>
              </w:rPr>
              <w:t>　</w:t>
            </w:r>
          </w:p>
        </w:tc>
        <w:tc>
          <w:tcPr>
            <w:tcW w:w="11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eastAsia="仿宋_GB2312"/>
                <w:color w:val="000000"/>
                <w:kern w:val="0"/>
                <w:sz w:val="18"/>
                <w:szCs w:val="18"/>
                <w:lang w:bidi="ar"/>
              </w:rPr>
            </w:pPr>
            <w:r>
              <w:rPr>
                <w:rFonts w:ascii="Times New Roman" w:hAnsi="Times New Roman" w:eastAsia="仿宋_GB2312"/>
                <w:kern w:val="0"/>
                <w:sz w:val="18"/>
                <w:szCs w:val="18"/>
                <w:lang w:bidi="ar"/>
              </w:rPr>
              <w:t>　</w:t>
            </w:r>
          </w:p>
        </w:tc>
        <w:tc>
          <w:tcPr>
            <w:tcW w:w="12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textAlignment w:val="center"/>
              <w:rPr>
                <w:rFonts w:ascii="Times New Roman" w:hAnsi="Times New Roman" w:eastAsia="仿宋_GB2312"/>
                <w:color w:val="000000"/>
                <w:kern w:val="0"/>
                <w:sz w:val="18"/>
                <w:szCs w:val="18"/>
                <w:lang w:bidi="ar"/>
              </w:rPr>
            </w:pPr>
            <w:r>
              <w:rPr>
                <w:rFonts w:ascii="Times New Roman" w:hAnsi="Times New Roman" w:eastAsia="仿宋_GB2312"/>
                <w:kern w:val="0"/>
                <w:sz w:val="18"/>
                <w:szCs w:val="18"/>
                <w:lang w:bidi="ar"/>
              </w:rPr>
              <w:t>　</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eastAsia="仿宋_GB2312"/>
                <w:sz w:val="18"/>
                <w:szCs w:val="18"/>
              </w:rPr>
            </w:pPr>
            <w:r>
              <w:rPr>
                <w:rFonts w:ascii="Times New Roman" w:hAnsi="Times New Roman" w:eastAsia="仿宋_GB2312"/>
                <w:kern w:val="0"/>
                <w:sz w:val="18"/>
                <w:szCs w:val="18"/>
                <w:lang w:bidi="ar"/>
              </w:rPr>
              <w:t>　</w:t>
            </w:r>
          </w:p>
        </w:tc>
      </w:tr>
      <w:tr>
        <w:tblPrEx>
          <w:tblCellMar>
            <w:top w:w="0" w:type="dxa"/>
            <w:left w:w="108" w:type="dxa"/>
            <w:bottom w:w="0" w:type="dxa"/>
            <w:right w:w="108" w:type="dxa"/>
          </w:tblCellMar>
        </w:tblPrEx>
        <w:trPr>
          <w:trHeight w:val="227" w:hRule="atLeast"/>
        </w:trPr>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textAlignment w:val="center"/>
              <w:rPr>
                <w:rFonts w:ascii="Times New Roman" w:hAnsi="Times New Roman"/>
                <w:color w:val="000000"/>
                <w:kern w:val="0"/>
                <w:sz w:val="18"/>
                <w:szCs w:val="18"/>
                <w:lang w:bidi="ar"/>
              </w:rPr>
            </w:pPr>
            <w:r>
              <w:rPr>
                <w:rFonts w:ascii="Times New Roman" w:hAnsi="Times New Roman"/>
                <w:color w:val="000000"/>
                <w:kern w:val="0"/>
                <w:sz w:val="18"/>
                <w:szCs w:val="18"/>
                <w:lang w:bidi="ar"/>
              </w:rPr>
              <w:t>2021年末库存指标</w:t>
            </w:r>
          </w:p>
        </w:tc>
        <w:tc>
          <w:tcPr>
            <w:tcW w:w="11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eastAsia="仿宋_GB2312"/>
                <w:color w:val="000000"/>
                <w:kern w:val="0"/>
                <w:sz w:val="18"/>
                <w:szCs w:val="18"/>
                <w:lang w:bidi="ar"/>
              </w:rPr>
            </w:pPr>
            <w:r>
              <w:rPr>
                <w:rFonts w:ascii="Times New Roman" w:hAnsi="Times New Roman" w:eastAsia="仿宋_GB2312"/>
                <w:kern w:val="0"/>
                <w:sz w:val="18"/>
                <w:szCs w:val="18"/>
                <w:lang w:bidi="ar"/>
              </w:rPr>
              <w:t xml:space="preserve"> 249.9322 </w:t>
            </w:r>
          </w:p>
        </w:tc>
        <w:tc>
          <w:tcPr>
            <w:tcW w:w="8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eastAsia="仿宋_GB2312"/>
                <w:sz w:val="18"/>
                <w:szCs w:val="18"/>
              </w:rPr>
            </w:pPr>
            <w:r>
              <w:rPr>
                <w:rFonts w:ascii="Times New Roman" w:hAnsi="Times New Roman" w:eastAsia="仿宋_GB2312"/>
                <w:kern w:val="0"/>
                <w:sz w:val="18"/>
                <w:szCs w:val="18"/>
                <w:lang w:bidi="ar"/>
              </w:rPr>
              <w:t xml:space="preserve"> 40.00 </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eastAsia="仿宋_GB2312"/>
                <w:sz w:val="18"/>
                <w:szCs w:val="18"/>
              </w:rPr>
            </w:pPr>
            <w:r>
              <w:rPr>
                <w:rFonts w:ascii="Times New Roman" w:hAnsi="Times New Roman" w:eastAsia="仿宋_GB2312"/>
                <w:kern w:val="0"/>
                <w:sz w:val="18"/>
                <w:szCs w:val="18"/>
                <w:lang w:bidi="ar"/>
              </w:rPr>
              <w:t>23,101.90</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eastAsia="仿宋_GB2312"/>
                <w:color w:val="000000"/>
                <w:kern w:val="0"/>
                <w:sz w:val="18"/>
                <w:szCs w:val="18"/>
                <w:lang w:bidi="ar"/>
              </w:rPr>
            </w:pPr>
            <w:r>
              <w:rPr>
                <w:rFonts w:ascii="Times New Roman" w:hAnsi="Times New Roman" w:eastAsia="仿宋_GB2312"/>
                <w:kern w:val="0"/>
                <w:sz w:val="18"/>
                <w:szCs w:val="18"/>
                <w:lang w:bidi="ar"/>
              </w:rPr>
              <w:t xml:space="preserve"> 18.9927 </w:t>
            </w:r>
          </w:p>
        </w:tc>
        <w:tc>
          <w:tcPr>
            <w:tcW w:w="11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eastAsia="仿宋_GB2312"/>
                <w:color w:val="000000"/>
                <w:kern w:val="0"/>
                <w:sz w:val="18"/>
                <w:szCs w:val="18"/>
                <w:lang w:bidi="ar"/>
              </w:rPr>
            </w:pPr>
            <w:r>
              <w:rPr>
                <w:rFonts w:ascii="Times New Roman" w:hAnsi="Times New Roman" w:eastAsia="仿宋_GB2312"/>
                <w:kern w:val="0"/>
                <w:sz w:val="18"/>
                <w:szCs w:val="18"/>
                <w:lang w:bidi="ar"/>
              </w:rPr>
              <w:t xml:space="preserve"> 70.1477 </w:t>
            </w:r>
          </w:p>
        </w:tc>
        <w:tc>
          <w:tcPr>
            <w:tcW w:w="12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eastAsia="仿宋_GB2312"/>
                <w:color w:val="000000"/>
                <w:kern w:val="0"/>
                <w:sz w:val="18"/>
                <w:szCs w:val="18"/>
                <w:lang w:bidi="ar"/>
              </w:rPr>
            </w:pPr>
            <w:r>
              <w:rPr>
                <w:rFonts w:ascii="Times New Roman" w:hAnsi="Times New Roman" w:eastAsia="仿宋_GB2312"/>
                <w:kern w:val="0"/>
                <w:sz w:val="18"/>
                <w:szCs w:val="18"/>
                <w:lang w:bidi="ar"/>
              </w:rPr>
              <w:t xml:space="preserve"> 16.8766 </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textAlignment w:val="center"/>
              <w:rPr>
                <w:rFonts w:ascii="Times New Roman" w:hAnsi="Times New Roman" w:eastAsia="仿宋_GB2312"/>
                <w:sz w:val="18"/>
                <w:szCs w:val="18"/>
              </w:rPr>
            </w:pPr>
            <w:r>
              <w:rPr>
                <w:rFonts w:ascii="Times New Roman" w:hAnsi="Times New Roman" w:eastAsia="仿宋_GB2312"/>
                <w:kern w:val="0"/>
                <w:sz w:val="18"/>
                <w:szCs w:val="18"/>
                <w:lang w:bidi="ar"/>
              </w:rPr>
              <w:t>33,354.28</w:t>
            </w:r>
          </w:p>
        </w:tc>
      </w:tr>
    </w:tbl>
    <w:p>
      <w:pPr>
        <w:spacing w:line="570" w:lineRule="exact"/>
        <w:ind w:firstLine="600" w:firstLineChars="200"/>
        <w:outlineLvl w:val="0"/>
        <w:rPr>
          <w:rFonts w:ascii="Times New Roman" w:hAnsi="Times New Roman" w:eastAsia="黑体"/>
          <w:spacing w:val="-10"/>
          <w:sz w:val="32"/>
          <w:szCs w:val="32"/>
        </w:rPr>
      </w:pPr>
      <w:r>
        <w:rPr>
          <w:rFonts w:ascii="Times New Roman" w:hAnsi="Times New Roman" w:eastAsia="黑体"/>
          <w:spacing w:val="-10"/>
          <w:sz w:val="32"/>
          <w:szCs w:val="32"/>
        </w:rPr>
        <w:t xml:space="preserve">四、部门产出成果及效益情况分析  </w:t>
      </w:r>
    </w:p>
    <w:p>
      <w:pPr>
        <w:pStyle w:val="10"/>
        <w:spacing w:before="0" w:after="0" w:line="570" w:lineRule="exact"/>
        <w:ind w:firstLine="643" w:firstLineChars="200"/>
        <w:jc w:val="both"/>
        <w:rPr>
          <w:rFonts w:ascii="Times New Roman" w:hAnsi="Times New Roman" w:eastAsia="楷体_GB2312"/>
        </w:rPr>
      </w:pPr>
      <w:r>
        <w:rPr>
          <w:rFonts w:ascii="Times New Roman" w:hAnsi="Times New Roman" w:eastAsia="楷体_GB2312"/>
        </w:rPr>
        <w:t>（一）评价结论</w:t>
      </w:r>
    </w:p>
    <w:p>
      <w:pPr>
        <w:numPr>
          <w:ilvl w:val="255"/>
          <w:numId w:val="0"/>
        </w:numPr>
        <w:spacing w:line="570" w:lineRule="exact"/>
        <w:ind w:firstLine="600" w:firstLineChars="200"/>
        <w:outlineLvl w:val="0"/>
        <w:rPr>
          <w:rFonts w:ascii="Times New Roman" w:hAnsi="Times New Roman" w:eastAsia="仿宋"/>
          <w:b/>
          <w:bCs/>
          <w:sz w:val="32"/>
          <w:szCs w:val="32"/>
        </w:rPr>
      </w:pPr>
      <w:r>
        <w:rPr>
          <w:rFonts w:ascii="Times New Roman" w:hAnsi="Times New Roman" w:eastAsia="仿宋"/>
          <w:spacing w:val="-10"/>
          <w:sz w:val="32"/>
          <w:szCs w:val="32"/>
        </w:rPr>
        <w:t>新区土储中心认真履行部门职责，按照年初设定的目标，扎实推进各项工作，较好地完成了2021年度各项工作目标。但仍存在绩效目标申报待完善等问题。绩效评价工作组按照部门整体支出绩效评价指标对2021年新区土储中心的部门整体支出情况进行了综合评价，得分93.76分，评价等级为“优”。</w:t>
      </w:r>
    </w:p>
    <w:p>
      <w:pPr>
        <w:pStyle w:val="2"/>
        <w:numPr>
          <w:ilvl w:val="255"/>
          <w:numId w:val="0"/>
        </w:numPr>
        <w:spacing w:line="57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（二）主要绩效</w:t>
      </w:r>
    </w:p>
    <w:p>
      <w:pPr>
        <w:numPr>
          <w:ilvl w:val="255"/>
          <w:numId w:val="0"/>
        </w:numPr>
        <w:autoSpaceDE w:val="0"/>
        <w:spacing w:line="570" w:lineRule="exact"/>
        <w:ind w:firstLine="603" w:firstLineChars="200"/>
        <w:rPr>
          <w:rFonts w:ascii="Times New Roman" w:hAnsi="Times New Roman" w:eastAsia="仿宋"/>
          <w:b/>
          <w:bCs/>
          <w:spacing w:val="-10"/>
          <w:sz w:val="32"/>
          <w:szCs w:val="32"/>
        </w:rPr>
      </w:pPr>
      <w:r>
        <w:rPr>
          <w:rFonts w:ascii="Times New Roman" w:hAnsi="Times New Roman" w:eastAsia="仿宋"/>
          <w:b/>
          <w:bCs/>
          <w:spacing w:val="-10"/>
          <w:sz w:val="32"/>
          <w:szCs w:val="32"/>
        </w:rPr>
        <w:t>1.较好完成土地收储工作，着力提升用地保障服务水平</w:t>
      </w:r>
    </w:p>
    <w:p>
      <w:pPr>
        <w:numPr>
          <w:ilvl w:val="255"/>
          <w:numId w:val="0"/>
        </w:numPr>
        <w:autoSpaceDE w:val="0"/>
        <w:spacing w:line="570" w:lineRule="exact"/>
        <w:ind w:firstLine="643" w:firstLineChars="200"/>
        <w:rPr>
          <w:rFonts w:ascii="Times New Roman" w:hAnsi="Times New Roman" w:eastAsia="仿宋"/>
          <w:sz w:val="32"/>
          <w:szCs w:val="32"/>
        </w:rPr>
      </w:pPr>
      <w:r>
        <w:rPr>
          <w:rFonts w:ascii="Times New Roman" w:hAnsi="Times New Roman" w:eastAsia="仿宋"/>
          <w:b/>
          <w:bCs/>
          <w:sz w:val="32"/>
          <w:szCs w:val="32"/>
        </w:rPr>
        <w:t>一是</w:t>
      </w:r>
      <w:r>
        <w:rPr>
          <w:rFonts w:ascii="Times New Roman" w:hAnsi="Times New Roman" w:eastAsia="仿宋"/>
          <w:sz w:val="32"/>
          <w:szCs w:val="32"/>
        </w:rPr>
        <w:t>较好完成征地计划。完成征地项目25个，总面积2046亩。其中，新区直接投资项目征地1,060亩，为年度任务1,283亩的82.62%；</w:t>
      </w:r>
      <w:r>
        <w:rPr>
          <w:rFonts w:ascii="Times New Roman" w:hAnsi="Times New Roman" w:eastAsia="仿宋"/>
          <w:b/>
          <w:bCs/>
          <w:sz w:val="32"/>
          <w:szCs w:val="32"/>
        </w:rPr>
        <w:t>二是</w:t>
      </w:r>
      <w:r>
        <w:rPr>
          <w:rFonts w:ascii="Times New Roman" w:hAnsi="Times New Roman" w:eastAsia="仿宋"/>
          <w:sz w:val="32"/>
          <w:szCs w:val="32"/>
        </w:rPr>
        <w:t>完成腾地任务7个，经过强力协调、处遗排难，在全力启动推进了川塘路、万科鼓山、电表厂、兴隆山庄等8个项目拆迁腾地，较好地完成了7个腾地任务。</w:t>
      </w:r>
      <w:r>
        <w:rPr>
          <w:rFonts w:ascii="Times New Roman" w:hAnsi="Times New Roman" w:eastAsia="仿宋"/>
          <w:b/>
          <w:bCs/>
          <w:sz w:val="32"/>
          <w:szCs w:val="32"/>
        </w:rPr>
        <w:t>三是</w:t>
      </w:r>
      <w:r>
        <w:rPr>
          <w:rFonts w:ascii="Times New Roman" w:hAnsi="Times New Roman" w:eastAsia="仿宋"/>
          <w:sz w:val="32"/>
          <w:szCs w:val="32"/>
        </w:rPr>
        <w:t>完成土地编制计划，按《湖南省年度土地储备计划编制规范实施细则（修订本）》要求，完成编制土地储备年度计划。</w:t>
      </w:r>
    </w:p>
    <w:p>
      <w:pPr>
        <w:pStyle w:val="12"/>
        <w:numPr>
          <w:ilvl w:val="255"/>
          <w:numId w:val="0"/>
        </w:numPr>
        <w:spacing w:line="570" w:lineRule="exact"/>
        <w:ind w:firstLine="603" w:firstLineChars="200"/>
        <w:rPr>
          <w:rFonts w:ascii="Times New Roman" w:hAnsi="Times New Roman" w:eastAsia="仿宋_GB2312"/>
          <w:b/>
          <w:bCs/>
          <w:spacing w:val="-10"/>
          <w:sz w:val="32"/>
          <w:szCs w:val="32"/>
        </w:rPr>
      </w:pPr>
      <w:r>
        <w:rPr>
          <w:rFonts w:ascii="Times New Roman" w:hAnsi="Times New Roman" w:eastAsia="仿宋_GB2312"/>
          <w:b/>
          <w:bCs/>
          <w:spacing w:val="-10"/>
          <w:sz w:val="32"/>
          <w:szCs w:val="32"/>
        </w:rPr>
        <w:t>2.超额完成耕补指标，保障新区项目顺利推进</w:t>
      </w:r>
    </w:p>
    <w:p>
      <w:pPr>
        <w:pStyle w:val="12"/>
        <w:numPr>
          <w:ilvl w:val="255"/>
          <w:numId w:val="0"/>
        </w:numPr>
        <w:spacing w:line="570" w:lineRule="exact"/>
        <w:ind w:firstLine="643" w:firstLineChars="200"/>
        <w:rPr>
          <w:rFonts w:ascii="Times New Roman" w:hAnsi="Times New Roman" w:eastAsia="仿宋"/>
          <w:sz w:val="32"/>
          <w:szCs w:val="32"/>
        </w:rPr>
      </w:pPr>
      <w:r>
        <w:rPr>
          <w:rFonts w:ascii="Times New Roman" w:hAnsi="Times New Roman" w:eastAsia="仿宋"/>
          <w:b/>
          <w:bCs/>
          <w:sz w:val="32"/>
          <w:szCs w:val="32"/>
        </w:rPr>
        <w:t>一是</w:t>
      </w:r>
      <w:r>
        <w:rPr>
          <w:rFonts w:ascii="Times New Roman" w:hAnsi="Times New Roman" w:eastAsia="仿宋"/>
          <w:sz w:val="32"/>
          <w:szCs w:val="32"/>
        </w:rPr>
        <w:t>超额完成耕补指标，购买湘阴先耕补指标1,788亩，其中：旱地600亩，旱改水1,188亩。</w:t>
      </w:r>
      <w:r>
        <w:rPr>
          <w:rFonts w:ascii="Times New Roman" w:hAnsi="Times New Roman" w:eastAsia="仿宋"/>
          <w:b/>
          <w:bCs/>
          <w:sz w:val="32"/>
          <w:szCs w:val="32"/>
        </w:rPr>
        <w:t>二是</w:t>
      </w:r>
      <w:r>
        <w:rPr>
          <w:rFonts w:ascii="Times New Roman" w:hAnsi="Times New Roman" w:eastAsia="仿宋"/>
          <w:sz w:val="32"/>
          <w:szCs w:val="32"/>
        </w:rPr>
        <w:t>统筹用好耕补指标，统筹用好了新区、岳麓区和长沙高新区三个指标库的旱地、旱改水、水田、粮食产能、增减挂、农用地指标6类耕补指标，为21个建设项目落实了耕地占补指标1,543亩。</w:t>
      </w:r>
    </w:p>
    <w:p>
      <w:pPr>
        <w:numPr>
          <w:ilvl w:val="255"/>
          <w:numId w:val="0"/>
        </w:numPr>
        <w:spacing w:line="570" w:lineRule="exact"/>
        <w:ind w:firstLine="603" w:firstLineChars="200"/>
        <w:outlineLvl w:val="0"/>
        <w:rPr>
          <w:rFonts w:ascii="Times New Roman" w:hAnsi="Times New Roman" w:eastAsia="仿宋_GB2312"/>
          <w:b/>
          <w:bCs/>
          <w:spacing w:val="-10"/>
          <w:sz w:val="32"/>
          <w:szCs w:val="32"/>
        </w:rPr>
      </w:pPr>
      <w:r>
        <w:rPr>
          <w:rFonts w:ascii="Times New Roman" w:hAnsi="Times New Roman" w:eastAsia="仿宋_GB2312"/>
          <w:b/>
          <w:bCs/>
          <w:spacing w:val="-10"/>
          <w:sz w:val="32"/>
          <w:szCs w:val="32"/>
        </w:rPr>
        <w:t>3.落实党建综合工作，推进支部五化建设完成五星评定</w:t>
      </w:r>
    </w:p>
    <w:p>
      <w:pPr>
        <w:autoSpaceDE w:val="0"/>
        <w:spacing w:line="570" w:lineRule="exact"/>
        <w:ind w:firstLine="640" w:firstLineChars="200"/>
        <w:rPr>
          <w:rFonts w:ascii="Times New Roman" w:hAnsi="Times New Roman" w:eastAsia="仿宋"/>
          <w:sz w:val="32"/>
          <w:szCs w:val="32"/>
        </w:rPr>
      </w:pPr>
      <w:r>
        <w:rPr>
          <w:rFonts w:ascii="Times New Roman" w:hAnsi="Times New Roman" w:eastAsia="仿宋"/>
          <w:sz w:val="32"/>
          <w:szCs w:val="32"/>
        </w:rPr>
        <w:t>（1）落实了支部“三会一课”、主题党日活动等规定动作。同时结合疫情防控、理论学习、红色教育、党性提升、廉洁警示等内容，做好了“四抓”文章。组织了庆祝中国共产党成立一百周年活动和</w:t>
      </w:r>
      <w:r>
        <w:rPr>
          <w:rFonts w:hint="eastAsia" w:ascii="Times New Roman" w:hAnsi="Times New Roman" w:eastAsia="仿宋"/>
          <w:sz w:val="32"/>
          <w:szCs w:val="32"/>
          <w:lang w:eastAsia="zh-CN"/>
        </w:rPr>
        <w:t>党史学习教育</w:t>
      </w:r>
      <w:r>
        <w:rPr>
          <w:rFonts w:ascii="Times New Roman" w:hAnsi="Times New Roman" w:eastAsia="仿宋"/>
          <w:sz w:val="32"/>
          <w:szCs w:val="32"/>
        </w:rPr>
        <w:t>，开展了党风廉政警示教育，定期分析党员思想动态，落实了意识形态工作责任。</w:t>
      </w:r>
    </w:p>
    <w:p>
      <w:pPr>
        <w:autoSpaceDE w:val="0"/>
        <w:spacing w:line="570" w:lineRule="exact"/>
        <w:ind w:firstLine="640" w:firstLineChars="200"/>
        <w:rPr>
          <w:rFonts w:ascii="Times New Roman" w:hAnsi="Times New Roman" w:eastAsia="仿宋"/>
          <w:sz w:val="32"/>
          <w:szCs w:val="32"/>
        </w:rPr>
      </w:pPr>
      <w:r>
        <w:rPr>
          <w:rFonts w:ascii="Times New Roman" w:hAnsi="Times New Roman" w:eastAsia="仿宋"/>
          <w:sz w:val="32"/>
          <w:szCs w:val="32"/>
        </w:rPr>
        <w:t>（2）落实了新区党工委、管委会的决策部署，切实加强了对“两报告三纪要一批示”及领导交办事项的跟踪督办，做到了政令畅通，及时办结率达100%。</w:t>
      </w:r>
    </w:p>
    <w:p>
      <w:pPr>
        <w:spacing w:line="570" w:lineRule="exact"/>
        <w:ind w:firstLine="600" w:firstLineChars="200"/>
        <w:rPr>
          <w:rFonts w:ascii="Times New Roman" w:hAnsi="Times New Roman" w:eastAsia="黑体"/>
          <w:spacing w:val="-10"/>
          <w:sz w:val="32"/>
          <w:szCs w:val="32"/>
        </w:rPr>
      </w:pPr>
      <w:r>
        <w:rPr>
          <w:rFonts w:ascii="Times New Roman" w:hAnsi="Times New Roman" w:eastAsia="黑体"/>
          <w:spacing w:val="-10"/>
          <w:sz w:val="32"/>
          <w:szCs w:val="32"/>
        </w:rPr>
        <w:t>五、存在的主要问题</w:t>
      </w:r>
    </w:p>
    <w:p>
      <w:pPr>
        <w:numPr>
          <w:ilvl w:val="255"/>
          <w:numId w:val="0"/>
        </w:numPr>
        <w:tabs>
          <w:tab w:val="left" w:pos="1980"/>
        </w:tabs>
        <w:spacing w:line="570" w:lineRule="exact"/>
        <w:ind w:firstLine="643" w:firstLineChars="200"/>
        <w:outlineLvl w:val="1"/>
        <w:rPr>
          <w:rFonts w:ascii="Times New Roman" w:hAnsi="Times New Roman" w:eastAsia="楷体_GB2312"/>
          <w:b/>
          <w:bCs/>
          <w:sz w:val="32"/>
          <w:szCs w:val="32"/>
        </w:rPr>
      </w:pPr>
      <w:r>
        <w:rPr>
          <w:rFonts w:ascii="Times New Roman" w:hAnsi="Times New Roman" w:eastAsia="楷体_GB2312"/>
          <w:b/>
          <w:bCs/>
          <w:sz w:val="32"/>
          <w:szCs w:val="32"/>
        </w:rPr>
        <w:t>（一）个别项目绩效目标未完成</w:t>
      </w:r>
    </w:p>
    <w:p>
      <w:pPr>
        <w:pStyle w:val="2"/>
        <w:numPr>
          <w:ilvl w:val="255"/>
          <w:numId w:val="0"/>
        </w:numPr>
        <w:adjustRightInd w:val="0"/>
        <w:snapToGrid w:val="0"/>
        <w:spacing w:line="560" w:lineRule="exact"/>
        <w:ind w:firstLine="600" w:firstLineChars="200"/>
        <w:rPr>
          <w:rFonts w:ascii="Times New Roman" w:hAnsi="Times New Roman" w:eastAsia="仿宋"/>
          <w:b/>
          <w:bCs/>
          <w:spacing w:val="-10"/>
          <w:sz w:val="32"/>
          <w:szCs w:val="32"/>
        </w:rPr>
      </w:pPr>
      <w:r>
        <w:rPr>
          <w:rFonts w:ascii="Times New Roman" w:hAnsi="Times New Roman" w:eastAsia="仿宋"/>
          <w:spacing w:val="-10"/>
          <w:sz w:val="32"/>
          <w:szCs w:val="32"/>
        </w:rPr>
        <w:t>新区土储中心2021年征地计划：1,283亩，截止2021年12月31日，受征地程序调整、拆迁补偿调标及成片开发方案编制等政策影响，实际完成征地面积1,060亩。未全部完成2021年征地计划绩效目标。</w:t>
      </w:r>
    </w:p>
    <w:p>
      <w:pPr>
        <w:numPr>
          <w:ilvl w:val="255"/>
          <w:numId w:val="0"/>
        </w:numPr>
        <w:tabs>
          <w:tab w:val="left" w:pos="1980"/>
        </w:tabs>
        <w:spacing w:line="570" w:lineRule="exact"/>
        <w:ind w:firstLine="643" w:firstLineChars="200"/>
        <w:outlineLvl w:val="1"/>
        <w:rPr>
          <w:rFonts w:ascii="Times New Roman" w:hAnsi="Times New Roman" w:eastAsia="楷体_GB2312"/>
          <w:b/>
          <w:bCs/>
          <w:sz w:val="32"/>
          <w:szCs w:val="32"/>
        </w:rPr>
      </w:pPr>
      <w:r>
        <w:rPr>
          <w:rFonts w:ascii="Times New Roman" w:hAnsi="Times New Roman" w:eastAsia="楷体_GB2312"/>
          <w:b/>
          <w:bCs/>
          <w:sz w:val="32"/>
          <w:szCs w:val="32"/>
        </w:rPr>
        <w:t>（二）预算执行率偏低</w:t>
      </w:r>
    </w:p>
    <w:p>
      <w:pPr>
        <w:pStyle w:val="2"/>
        <w:numPr>
          <w:ilvl w:val="255"/>
          <w:numId w:val="0"/>
        </w:numPr>
        <w:spacing w:line="570" w:lineRule="exact"/>
        <w:ind w:firstLine="600" w:firstLineChars="200"/>
        <w:rPr>
          <w:rFonts w:ascii="Times New Roman" w:hAnsi="Times New Roman"/>
        </w:rPr>
      </w:pPr>
      <w:r>
        <w:rPr>
          <w:rFonts w:ascii="Times New Roman" w:hAnsi="Times New Roman" w:eastAsia="仿宋"/>
          <w:spacing w:val="-10"/>
          <w:sz w:val="32"/>
          <w:szCs w:val="32"/>
        </w:rPr>
        <w:t>新区土储中心2021年预算执行率为80.89%，全年预算执行率偏低。</w:t>
      </w:r>
    </w:p>
    <w:p>
      <w:pPr>
        <w:numPr>
          <w:ilvl w:val="255"/>
          <w:numId w:val="0"/>
        </w:numPr>
        <w:tabs>
          <w:tab w:val="left" w:pos="1980"/>
        </w:tabs>
        <w:spacing w:line="570" w:lineRule="exact"/>
        <w:ind w:firstLine="643" w:firstLineChars="200"/>
        <w:outlineLvl w:val="1"/>
        <w:rPr>
          <w:rFonts w:ascii="Times New Roman" w:hAnsi="Times New Roman" w:eastAsia="楷体_GB2312"/>
          <w:b/>
          <w:bCs/>
          <w:sz w:val="32"/>
          <w:szCs w:val="32"/>
        </w:rPr>
      </w:pPr>
      <w:r>
        <w:rPr>
          <w:rFonts w:ascii="Times New Roman" w:hAnsi="Times New Roman" w:eastAsia="楷体_GB2312"/>
          <w:b/>
          <w:bCs/>
          <w:sz w:val="32"/>
          <w:szCs w:val="32"/>
        </w:rPr>
        <w:t>（三）预算调整幅度偏大</w:t>
      </w:r>
    </w:p>
    <w:p>
      <w:pPr>
        <w:pStyle w:val="2"/>
        <w:numPr>
          <w:ilvl w:val="255"/>
          <w:numId w:val="0"/>
        </w:numPr>
        <w:spacing w:line="570" w:lineRule="exact"/>
        <w:ind w:firstLine="600" w:firstLineChars="200"/>
        <w:rPr>
          <w:rFonts w:ascii="Times New Roman" w:hAnsi="Times New Roman" w:eastAsia="仿宋"/>
          <w:spacing w:val="-10"/>
          <w:sz w:val="32"/>
          <w:szCs w:val="32"/>
        </w:rPr>
      </w:pPr>
      <w:r>
        <w:rPr>
          <w:rFonts w:ascii="Times New Roman" w:hAnsi="Times New Roman" w:eastAsia="仿宋"/>
          <w:spacing w:val="-10"/>
          <w:sz w:val="32"/>
          <w:szCs w:val="32"/>
        </w:rPr>
        <w:t>新区土储中心2021年项目支出年初预算资金24.50万元，年中预算调增3万元，预算调减4万元，共计调整7万元，预算调整率为28.57%，调整幅度偏大。</w:t>
      </w:r>
    </w:p>
    <w:p>
      <w:pPr>
        <w:tabs>
          <w:tab w:val="left" w:pos="1980"/>
        </w:tabs>
        <w:spacing w:line="570" w:lineRule="exact"/>
        <w:ind w:firstLine="643" w:firstLineChars="200"/>
        <w:outlineLvl w:val="1"/>
        <w:rPr>
          <w:rFonts w:ascii="Times New Roman" w:hAnsi="Times New Roman" w:eastAsia="楷体_GB2312"/>
          <w:b/>
          <w:bCs/>
          <w:sz w:val="32"/>
          <w:szCs w:val="32"/>
        </w:rPr>
      </w:pPr>
      <w:r>
        <w:rPr>
          <w:rFonts w:ascii="Times New Roman" w:hAnsi="Times New Roman" w:eastAsia="楷体_GB2312"/>
          <w:b/>
          <w:bCs/>
          <w:sz w:val="32"/>
          <w:szCs w:val="32"/>
          <w:lang w:bidi="zh-CN"/>
        </w:rPr>
        <w:t>（四）</w:t>
      </w:r>
      <w:r>
        <w:rPr>
          <w:rFonts w:ascii="Times New Roman" w:hAnsi="Times New Roman" w:eastAsia="楷体_GB2312"/>
          <w:b/>
          <w:bCs/>
          <w:sz w:val="32"/>
          <w:szCs w:val="32"/>
        </w:rPr>
        <w:t>预算支付序时进度较慢</w:t>
      </w:r>
    </w:p>
    <w:p>
      <w:pPr>
        <w:widowControl/>
        <w:tabs>
          <w:tab w:val="left" w:pos="1160"/>
        </w:tabs>
        <w:spacing w:line="570" w:lineRule="exact"/>
        <w:ind w:firstLine="640" w:firstLineChars="200"/>
        <w:rPr>
          <w:rFonts w:ascii="Times New Roman" w:hAnsi="Times New Roman" w:eastAsia="仿宋"/>
          <w:iCs/>
          <w:sz w:val="32"/>
          <w:szCs w:val="32"/>
          <w:lang w:bidi="zh-CN"/>
        </w:rPr>
      </w:pPr>
      <w:r>
        <w:rPr>
          <w:rFonts w:ascii="Times New Roman" w:hAnsi="Times New Roman" w:eastAsia="仿宋"/>
          <w:sz w:val="32"/>
          <w:szCs w:val="32"/>
        </w:rPr>
        <w:t>新区土储中心2021年第二季度末和第三季度末的预算支付序时进度分别为37.80%和62.83%，预算支付序时进度较慢</w:t>
      </w:r>
      <w:r>
        <w:rPr>
          <w:rFonts w:ascii="Times New Roman" w:hAnsi="Times New Roman" w:eastAsia="仿宋"/>
          <w:iCs/>
          <w:sz w:val="32"/>
          <w:szCs w:val="32"/>
          <w:lang w:bidi="zh-CN"/>
        </w:rPr>
        <w:t>。</w:t>
      </w:r>
    </w:p>
    <w:p>
      <w:pPr>
        <w:numPr>
          <w:ilvl w:val="255"/>
          <w:numId w:val="0"/>
        </w:numPr>
        <w:tabs>
          <w:tab w:val="left" w:pos="1980"/>
        </w:tabs>
        <w:spacing w:line="570" w:lineRule="exact"/>
        <w:ind w:firstLine="643" w:firstLineChars="200"/>
        <w:outlineLvl w:val="1"/>
        <w:rPr>
          <w:rFonts w:ascii="Times New Roman" w:hAnsi="Times New Roman" w:eastAsia="楷体_GB2312"/>
          <w:b/>
          <w:bCs/>
          <w:sz w:val="32"/>
          <w:szCs w:val="32"/>
        </w:rPr>
      </w:pPr>
      <w:r>
        <w:rPr>
          <w:rFonts w:ascii="Times New Roman" w:hAnsi="Times New Roman" w:eastAsia="楷体_GB2312"/>
          <w:b/>
          <w:bCs/>
          <w:sz w:val="32"/>
          <w:szCs w:val="32"/>
          <w:lang w:bidi="zh-CN"/>
        </w:rPr>
        <w:t>（五）</w:t>
      </w:r>
      <w:r>
        <w:rPr>
          <w:rFonts w:ascii="Times New Roman" w:hAnsi="Times New Roman" w:eastAsia="楷体_GB2312"/>
          <w:b/>
          <w:bCs/>
          <w:sz w:val="32"/>
          <w:szCs w:val="32"/>
        </w:rPr>
        <w:t>三公经费控制效果欠佳</w:t>
      </w:r>
    </w:p>
    <w:p>
      <w:pPr>
        <w:ind w:firstLine="600" w:firstLineChars="200"/>
        <w:rPr>
          <w:rFonts w:ascii="Times New Roman" w:hAnsi="Times New Roman" w:eastAsia="仿宋"/>
          <w:spacing w:val="-10"/>
          <w:sz w:val="32"/>
          <w:szCs w:val="32"/>
        </w:rPr>
      </w:pPr>
      <w:r>
        <w:rPr>
          <w:rFonts w:ascii="Times New Roman" w:hAnsi="Times New Roman" w:eastAsia="仿宋"/>
          <w:spacing w:val="-10"/>
          <w:sz w:val="32"/>
          <w:szCs w:val="32"/>
        </w:rPr>
        <w:t>新区土储中心2021年三公经费实际支出5.12万元，超过上年决算金额4.18万元，与上年相比，三公经费控制效果欠佳，其主要原因为车辆使用年限的增长导致维修费用增大。</w:t>
      </w:r>
    </w:p>
    <w:p>
      <w:pPr>
        <w:spacing w:line="570" w:lineRule="exact"/>
        <w:ind w:firstLine="900" w:firstLineChars="300"/>
        <w:rPr>
          <w:rFonts w:ascii="Times New Roman" w:hAnsi="Times New Roman" w:eastAsia="黑体"/>
          <w:spacing w:val="-10"/>
          <w:sz w:val="32"/>
          <w:szCs w:val="32"/>
        </w:rPr>
      </w:pPr>
      <w:r>
        <w:rPr>
          <w:rFonts w:ascii="Times New Roman" w:hAnsi="Times New Roman" w:eastAsia="黑体"/>
          <w:spacing w:val="-10"/>
          <w:sz w:val="32"/>
          <w:szCs w:val="32"/>
        </w:rPr>
        <w:t>六、相关建议</w:t>
      </w:r>
    </w:p>
    <w:p>
      <w:pPr>
        <w:pStyle w:val="2"/>
        <w:numPr>
          <w:ilvl w:val="255"/>
          <w:numId w:val="0"/>
        </w:numPr>
        <w:spacing w:line="570" w:lineRule="exact"/>
        <w:ind w:firstLine="603" w:firstLineChars="200"/>
        <w:rPr>
          <w:rFonts w:ascii="Times New Roman" w:hAnsi="Times New Roman" w:eastAsia="楷体_GB2312"/>
          <w:b/>
          <w:bCs/>
          <w:spacing w:val="-10"/>
          <w:sz w:val="32"/>
          <w:szCs w:val="32"/>
        </w:rPr>
      </w:pPr>
      <w:r>
        <w:rPr>
          <w:rFonts w:ascii="Times New Roman" w:hAnsi="Times New Roman" w:eastAsia="楷体_GB2312"/>
          <w:b/>
          <w:bCs/>
          <w:spacing w:val="-10"/>
          <w:sz w:val="32"/>
          <w:szCs w:val="32"/>
        </w:rPr>
        <w:t>（一）科学推进项目进度</w:t>
      </w:r>
    </w:p>
    <w:p>
      <w:pPr>
        <w:pStyle w:val="2"/>
        <w:numPr>
          <w:ilvl w:val="255"/>
          <w:numId w:val="0"/>
        </w:numPr>
        <w:spacing w:line="570" w:lineRule="exact"/>
        <w:ind w:firstLine="600" w:firstLineChars="200"/>
        <w:rPr>
          <w:rFonts w:ascii="Times New Roman" w:hAnsi="Times New Roman" w:eastAsia="仿宋"/>
          <w:spacing w:val="-10"/>
          <w:sz w:val="32"/>
          <w:szCs w:val="32"/>
        </w:rPr>
      </w:pPr>
      <w:r>
        <w:rPr>
          <w:rFonts w:ascii="Times New Roman" w:hAnsi="Times New Roman" w:eastAsia="仿宋"/>
          <w:spacing w:val="-10"/>
          <w:sz w:val="32"/>
          <w:szCs w:val="32"/>
        </w:rPr>
        <w:t>建议新区在铺排项目征地计划时，一方面要注重考虑现行政策要求，科学评估项目推进的可行性；另一方面要适时调度片区公司对项目征地拆迁推进工作，遇到计划外情况，及时纠偏或做出计划调整，避免影响征地计划的进度。</w:t>
      </w:r>
    </w:p>
    <w:p>
      <w:pPr>
        <w:widowControl/>
        <w:spacing w:line="570" w:lineRule="exact"/>
        <w:ind w:firstLine="603" w:firstLineChars="200"/>
        <w:rPr>
          <w:rFonts w:ascii="Times New Roman" w:hAnsi="Times New Roman" w:eastAsia="楷体_GB2312"/>
          <w:b/>
          <w:bCs/>
          <w:spacing w:val="-10"/>
          <w:sz w:val="32"/>
          <w:szCs w:val="32"/>
        </w:rPr>
      </w:pPr>
      <w:r>
        <w:rPr>
          <w:rFonts w:ascii="Times New Roman" w:hAnsi="Times New Roman" w:eastAsia="楷体_GB2312"/>
          <w:b/>
          <w:bCs/>
          <w:spacing w:val="-10"/>
          <w:sz w:val="32"/>
          <w:szCs w:val="32"/>
        </w:rPr>
        <w:t>（二）强化预算管理</w:t>
      </w:r>
    </w:p>
    <w:p>
      <w:pPr>
        <w:widowControl/>
        <w:spacing w:line="570" w:lineRule="exact"/>
        <w:ind w:firstLine="600" w:firstLineChars="200"/>
        <w:rPr>
          <w:rFonts w:ascii="Times New Roman" w:hAnsi="Times New Roman" w:eastAsia="仿宋"/>
          <w:spacing w:val="-10"/>
          <w:sz w:val="32"/>
          <w:szCs w:val="32"/>
        </w:rPr>
      </w:pPr>
      <w:r>
        <w:rPr>
          <w:rFonts w:ascii="Times New Roman" w:hAnsi="Times New Roman" w:eastAsia="仿宋"/>
          <w:spacing w:val="-10"/>
          <w:sz w:val="32"/>
          <w:szCs w:val="32"/>
        </w:rPr>
        <w:t>建议新区</w:t>
      </w:r>
      <w:r>
        <w:rPr>
          <w:rFonts w:ascii="Times New Roman" w:hAnsi="Times New Roman" w:eastAsia="仿宋"/>
          <w:sz w:val="32"/>
          <w:szCs w:val="32"/>
        </w:rPr>
        <w:t>加强预算执行管理，跟踪监控每个具体项目的执行情况，及时发现项目预算执行中的问题并采取相应措施，根据项目进度，及时进行资金支付，避免第四季度突击支付</w:t>
      </w:r>
      <w:r>
        <w:rPr>
          <w:rFonts w:ascii="Times New Roman" w:hAnsi="Times New Roman" w:eastAsia="仿宋"/>
          <w:spacing w:val="-10"/>
          <w:sz w:val="32"/>
          <w:szCs w:val="32"/>
        </w:rPr>
        <w:t>，因宏观政策影响，确需对预算资金进行调整的，应及时按程序申报调整预算，以提高各季度以及全年的预算执行率，避免资金闲置。</w:t>
      </w:r>
    </w:p>
    <w:p>
      <w:pPr>
        <w:widowControl/>
        <w:spacing w:line="570" w:lineRule="exact"/>
        <w:ind w:firstLine="603" w:firstLineChars="200"/>
        <w:rPr>
          <w:rFonts w:ascii="Times New Roman" w:hAnsi="Times New Roman" w:eastAsia="楷体_GB2312"/>
          <w:b/>
          <w:bCs/>
          <w:spacing w:val="-10"/>
          <w:sz w:val="32"/>
          <w:szCs w:val="32"/>
        </w:rPr>
      </w:pPr>
      <w:r>
        <w:rPr>
          <w:rFonts w:ascii="Times New Roman" w:hAnsi="Times New Roman" w:eastAsia="楷体_GB2312"/>
          <w:b/>
          <w:bCs/>
          <w:spacing w:val="-10"/>
          <w:sz w:val="32"/>
          <w:szCs w:val="32"/>
        </w:rPr>
        <w:t>（三）加强经费控制</w:t>
      </w:r>
    </w:p>
    <w:p>
      <w:pPr>
        <w:widowControl/>
        <w:spacing w:line="570" w:lineRule="exact"/>
        <w:ind w:firstLine="600" w:firstLineChars="200"/>
        <w:rPr>
          <w:rFonts w:ascii="Times New Roman" w:hAnsi="Times New Roman" w:eastAsia="仿宋"/>
          <w:spacing w:val="-10"/>
          <w:sz w:val="32"/>
          <w:szCs w:val="32"/>
        </w:rPr>
      </w:pPr>
      <w:r>
        <w:rPr>
          <w:rFonts w:ascii="Times New Roman" w:hAnsi="Times New Roman" w:eastAsia="仿宋"/>
          <w:spacing w:val="-10"/>
          <w:sz w:val="32"/>
          <w:szCs w:val="32"/>
        </w:rPr>
        <w:t>建议新区进一步加强预算收支执行管理，落实“过紧日子”要求，从严控制公用经费的支出。</w:t>
      </w:r>
    </w:p>
    <w:p>
      <w:pPr>
        <w:rPr>
          <w:rFonts w:ascii="Times New Roman" w:hAnsi="Times New Roman" w:eastAsia="仿宋"/>
        </w:rPr>
      </w:pPr>
    </w:p>
    <w:p>
      <w:pPr>
        <w:pStyle w:val="10"/>
        <w:spacing w:before="20" w:after="20" w:line="640" w:lineRule="exact"/>
        <w:jc w:val="both"/>
        <w:outlineLvl w:val="9"/>
        <w:rPr>
          <w:rFonts w:ascii="Times New Roman" w:hAnsi="Times New Roman" w:eastAsia="仿宋"/>
          <w:b w:val="0"/>
          <w:bCs w:val="0"/>
        </w:rPr>
      </w:pPr>
      <w:r>
        <w:rPr>
          <w:rFonts w:ascii="Times New Roman" w:hAnsi="Times New Roman" w:eastAsia="仿宋"/>
          <w:b w:val="0"/>
          <w:bCs w:val="0"/>
        </w:rPr>
        <w:t>附件：2021年湖南湘江新区土地储备中心整体支出绩效评价评分表</w:t>
      </w:r>
    </w:p>
    <w:p>
      <w:pPr>
        <w:rPr>
          <w:rFonts w:ascii="Times New Roman" w:hAnsi="Times New Roman" w:eastAsia="仿宋"/>
          <w:sz w:val="32"/>
          <w:szCs w:val="32"/>
        </w:rPr>
      </w:pPr>
    </w:p>
    <w:tbl>
      <w:tblPr>
        <w:tblStyle w:val="14"/>
        <w:tblpPr w:leftFromText="180" w:rightFromText="180" w:vertAnchor="text" w:horzAnchor="page" w:tblpX="1520" w:tblpY="602"/>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85"/>
        <w:gridCol w:w="3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5685" w:type="dxa"/>
            <w:vAlign w:val="center"/>
          </w:tcPr>
          <w:p>
            <w:pPr>
              <w:spacing w:line="360" w:lineRule="auto"/>
              <w:jc w:val="center"/>
              <w:rPr>
                <w:rFonts w:ascii="Times New Roman" w:hAnsi="Times New Roman" w:eastAsia="仿宋"/>
                <w:snapToGrid w:val="0"/>
                <w:sz w:val="32"/>
                <w:szCs w:val="32"/>
              </w:rPr>
            </w:pPr>
            <w:r>
              <w:rPr>
                <w:rFonts w:ascii="Times New Roman" w:hAnsi="Times New Roman" w:eastAsia="仿宋"/>
                <w:snapToGrid w:val="0"/>
                <w:sz w:val="32"/>
                <w:szCs w:val="32"/>
              </w:rPr>
              <w:t>湖南大宇联合会计师事务所（普通合伙）</w:t>
            </w:r>
          </w:p>
        </w:tc>
        <w:tc>
          <w:tcPr>
            <w:tcW w:w="3375" w:type="dxa"/>
            <w:vAlign w:val="center"/>
          </w:tcPr>
          <w:p>
            <w:pPr>
              <w:spacing w:line="360" w:lineRule="auto"/>
              <w:jc w:val="center"/>
              <w:rPr>
                <w:rFonts w:ascii="Times New Roman" w:hAnsi="Times New Roman" w:eastAsia="仿宋"/>
                <w:snapToGrid w:val="0"/>
                <w:sz w:val="32"/>
                <w:szCs w:val="32"/>
              </w:rPr>
            </w:pPr>
            <w:r>
              <w:rPr>
                <w:rFonts w:ascii="Times New Roman" w:hAnsi="Times New Roman" w:eastAsia="仿宋"/>
                <w:snapToGrid w:val="0"/>
                <w:sz w:val="32"/>
                <w:szCs w:val="32"/>
              </w:rPr>
              <w:t>中国注册会计师：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5685" w:type="dxa"/>
            <w:vAlign w:val="center"/>
          </w:tcPr>
          <w:p>
            <w:pPr>
              <w:spacing w:line="360" w:lineRule="auto"/>
              <w:jc w:val="center"/>
              <w:rPr>
                <w:rFonts w:ascii="Times New Roman" w:hAnsi="Times New Roman" w:eastAsia="仿宋"/>
                <w:snapToGrid w:val="0"/>
                <w:sz w:val="32"/>
                <w:szCs w:val="32"/>
              </w:rPr>
            </w:pPr>
            <w:r>
              <w:rPr>
                <w:rFonts w:ascii="Times New Roman" w:hAnsi="Times New Roman" w:eastAsia="仿宋"/>
                <w:snapToGrid w:val="0"/>
                <w:sz w:val="32"/>
                <w:szCs w:val="32"/>
              </w:rPr>
              <w:t>中国</w:t>
            </w:r>
            <w:r>
              <w:rPr>
                <w:rFonts w:ascii="Times New Roman" w:hAnsi="Times New Roman" w:eastAsia="仿宋"/>
                <w:bCs/>
                <w:snapToGrid w:val="0"/>
                <w:sz w:val="32"/>
                <w:szCs w:val="32"/>
              </w:rPr>
              <w:t>·</w:t>
            </w:r>
            <w:r>
              <w:rPr>
                <w:rFonts w:ascii="Times New Roman" w:hAnsi="Times New Roman" w:eastAsia="仿宋"/>
                <w:snapToGrid w:val="0"/>
                <w:sz w:val="32"/>
                <w:szCs w:val="32"/>
              </w:rPr>
              <w:t>长沙</w:t>
            </w:r>
          </w:p>
        </w:tc>
        <w:tc>
          <w:tcPr>
            <w:tcW w:w="3375" w:type="dxa"/>
            <w:vAlign w:val="center"/>
          </w:tcPr>
          <w:p>
            <w:pPr>
              <w:spacing w:line="360" w:lineRule="auto"/>
              <w:jc w:val="center"/>
              <w:rPr>
                <w:rFonts w:ascii="Times New Roman" w:hAnsi="Times New Roman" w:eastAsia="仿宋"/>
                <w:snapToGrid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5685" w:type="dxa"/>
            <w:vAlign w:val="center"/>
          </w:tcPr>
          <w:p>
            <w:pPr>
              <w:spacing w:line="360" w:lineRule="auto"/>
              <w:jc w:val="center"/>
              <w:rPr>
                <w:rFonts w:ascii="Times New Roman" w:hAnsi="Times New Roman" w:eastAsia="仿宋"/>
                <w:snapToGrid w:val="0"/>
                <w:sz w:val="32"/>
                <w:szCs w:val="32"/>
              </w:rPr>
            </w:pPr>
            <w:r>
              <w:rPr>
                <w:rFonts w:ascii="Times New Roman" w:hAnsi="Times New Roman" w:eastAsia="仿宋"/>
                <w:snapToGrid w:val="0"/>
                <w:sz w:val="32"/>
                <w:szCs w:val="32"/>
              </w:rPr>
              <w:t>2022年9月10日</w:t>
            </w:r>
          </w:p>
        </w:tc>
        <w:tc>
          <w:tcPr>
            <w:tcW w:w="3375" w:type="dxa"/>
            <w:vAlign w:val="center"/>
          </w:tcPr>
          <w:p>
            <w:pPr>
              <w:spacing w:line="360" w:lineRule="auto"/>
              <w:jc w:val="center"/>
              <w:rPr>
                <w:rFonts w:ascii="Times New Roman" w:hAnsi="Times New Roman" w:eastAsia="仿宋"/>
                <w:snapToGrid w:val="0"/>
                <w:sz w:val="32"/>
                <w:szCs w:val="32"/>
              </w:rPr>
            </w:pPr>
            <w:r>
              <w:rPr>
                <w:rFonts w:ascii="Times New Roman" w:hAnsi="Times New Roman" w:eastAsia="仿宋"/>
                <w:snapToGrid w:val="0"/>
                <w:sz w:val="32"/>
                <w:szCs w:val="32"/>
              </w:rPr>
              <w:t>中国注册会计师：</w:t>
            </w:r>
          </w:p>
        </w:tc>
      </w:tr>
    </w:tbl>
    <w:p>
      <w:pPr>
        <w:widowControl/>
        <w:spacing w:line="540" w:lineRule="exact"/>
        <w:ind w:firstLine="600" w:firstLineChars="200"/>
        <w:jc w:val="left"/>
        <w:rPr>
          <w:rFonts w:ascii="仿宋" w:hAnsi="仿宋" w:eastAsia="仿宋" w:cs="仿宋"/>
          <w:spacing w:val="-10"/>
          <w:sz w:val="32"/>
          <w:szCs w:val="32"/>
        </w:rPr>
      </w:pPr>
    </w:p>
    <w:sectPr>
      <w:headerReference r:id="rId3" w:type="default"/>
      <w:footerReference r:id="rId4" w:type="default"/>
      <w:pgSz w:w="11906" w:h="16838"/>
      <w:pgMar w:top="1418" w:right="1531" w:bottom="1418"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6A38BC1-7F6A-41E3-8BFB-85A15908CE1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0B4B596F-9CD1-4D2E-9C64-7CF5E87ECF18}"/>
  </w:font>
  <w:font w:name="楷体_GB2312">
    <w:altName w:val="楷体"/>
    <w:panose1 w:val="02010609030101010101"/>
    <w:charset w:val="86"/>
    <w:family w:val="modern"/>
    <w:pitch w:val="default"/>
    <w:sig w:usb0="00000000" w:usb1="00000000" w:usb2="00000010" w:usb3="00000000" w:csb0="00040000" w:csb1="00000000"/>
    <w:embedRegular r:id="rId3" w:fontKey="{63DB93CF-ADF1-4A06-BBA4-E05824EBBD42}"/>
  </w:font>
  <w:font w:name="Calibri Light">
    <w:panose1 w:val="020F0302020204030204"/>
    <w:charset w:val="00"/>
    <w:family w:val="swiss"/>
    <w:pitch w:val="default"/>
    <w:sig w:usb0="A00002EF" w:usb1="4000207B" w:usb2="00000000" w:usb3="00000000" w:csb0="2000019F" w:csb1="00000000"/>
  </w:font>
  <w:font w:name="..ì.">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embedRegular r:id="rId4" w:fontKey="{77F327E4-2F0D-4C95-B6AF-C34818329EF4}"/>
  </w:font>
  <w:font w:name="仿宋">
    <w:panose1 w:val="02010609060101010101"/>
    <w:charset w:val="86"/>
    <w:family w:val="modern"/>
    <w:pitch w:val="default"/>
    <w:sig w:usb0="800002BF" w:usb1="38CF7CFA" w:usb2="00000016" w:usb3="00000000" w:csb0="00040001" w:csb1="00000000"/>
    <w:embedRegular r:id="rId5" w:fontKey="{69A22C75-463F-4324-909E-6EF81CD10718}"/>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9A2B47"/>
    <w:multiLevelType w:val="singleLevel"/>
    <w:tmpl w:val="A79A2B47"/>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MjkxM2ZkNzU5MDI0YTNjNTJhYzMzZjgwM2Q2M2QifQ=="/>
  </w:docVars>
  <w:rsids>
    <w:rsidRoot w:val="00172A27"/>
    <w:rsid w:val="00024708"/>
    <w:rsid w:val="00027FBC"/>
    <w:rsid w:val="00034535"/>
    <w:rsid w:val="0004449D"/>
    <w:rsid w:val="00062ACB"/>
    <w:rsid w:val="000E10F0"/>
    <w:rsid w:val="00102166"/>
    <w:rsid w:val="00102361"/>
    <w:rsid w:val="0012286D"/>
    <w:rsid w:val="00161848"/>
    <w:rsid w:val="00172A27"/>
    <w:rsid w:val="00186564"/>
    <w:rsid w:val="00255876"/>
    <w:rsid w:val="00261C35"/>
    <w:rsid w:val="00273B24"/>
    <w:rsid w:val="00283508"/>
    <w:rsid w:val="00290125"/>
    <w:rsid w:val="002918DE"/>
    <w:rsid w:val="002A5848"/>
    <w:rsid w:val="00370656"/>
    <w:rsid w:val="00382894"/>
    <w:rsid w:val="0039777E"/>
    <w:rsid w:val="0042244F"/>
    <w:rsid w:val="004570CF"/>
    <w:rsid w:val="004611AC"/>
    <w:rsid w:val="004C22F5"/>
    <w:rsid w:val="004E34AF"/>
    <w:rsid w:val="004E7539"/>
    <w:rsid w:val="005A1E8A"/>
    <w:rsid w:val="005C1CFB"/>
    <w:rsid w:val="005C6723"/>
    <w:rsid w:val="005D23CE"/>
    <w:rsid w:val="005D68D1"/>
    <w:rsid w:val="005E6B33"/>
    <w:rsid w:val="00631236"/>
    <w:rsid w:val="007E049B"/>
    <w:rsid w:val="007E77F9"/>
    <w:rsid w:val="00883F4C"/>
    <w:rsid w:val="008B616A"/>
    <w:rsid w:val="009150AA"/>
    <w:rsid w:val="00981B9D"/>
    <w:rsid w:val="009E622C"/>
    <w:rsid w:val="00A458E1"/>
    <w:rsid w:val="00A60FC4"/>
    <w:rsid w:val="00AD5DF9"/>
    <w:rsid w:val="00C240E1"/>
    <w:rsid w:val="00C372F7"/>
    <w:rsid w:val="00C511BF"/>
    <w:rsid w:val="00D937D0"/>
    <w:rsid w:val="00E0671E"/>
    <w:rsid w:val="00E3633C"/>
    <w:rsid w:val="00E41EC2"/>
    <w:rsid w:val="00E43952"/>
    <w:rsid w:val="00EA4F81"/>
    <w:rsid w:val="00EF09CC"/>
    <w:rsid w:val="00EF7EA8"/>
    <w:rsid w:val="00FC0E43"/>
    <w:rsid w:val="00FD3939"/>
    <w:rsid w:val="00FD3A1D"/>
    <w:rsid w:val="01447524"/>
    <w:rsid w:val="019344CF"/>
    <w:rsid w:val="01EB60AF"/>
    <w:rsid w:val="036C3161"/>
    <w:rsid w:val="039C407F"/>
    <w:rsid w:val="040B6F85"/>
    <w:rsid w:val="046A3317"/>
    <w:rsid w:val="050263C1"/>
    <w:rsid w:val="053B57CE"/>
    <w:rsid w:val="056B2A2D"/>
    <w:rsid w:val="07DF3944"/>
    <w:rsid w:val="08276EF7"/>
    <w:rsid w:val="0943311D"/>
    <w:rsid w:val="094701A2"/>
    <w:rsid w:val="09502F56"/>
    <w:rsid w:val="0959014C"/>
    <w:rsid w:val="096867B1"/>
    <w:rsid w:val="09BD6ECD"/>
    <w:rsid w:val="0A1942AC"/>
    <w:rsid w:val="0A390D91"/>
    <w:rsid w:val="0A720C4C"/>
    <w:rsid w:val="0AC6489F"/>
    <w:rsid w:val="0AFD0D91"/>
    <w:rsid w:val="0B0B3B3D"/>
    <w:rsid w:val="0B9F69F5"/>
    <w:rsid w:val="0BE801BB"/>
    <w:rsid w:val="0C1E7B9A"/>
    <w:rsid w:val="0D280781"/>
    <w:rsid w:val="0D565D0C"/>
    <w:rsid w:val="0D8D7C10"/>
    <w:rsid w:val="0E407990"/>
    <w:rsid w:val="0E9B1110"/>
    <w:rsid w:val="0F0A0339"/>
    <w:rsid w:val="0F1C3092"/>
    <w:rsid w:val="0F1D716A"/>
    <w:rsid w:val="0FDF3286"/>
    <w:rsid w:val="0FF465C8"/>
    <w:rsid w:val="0FFD42EB"/>
    <w:rsid w:val="10402750"/>
    <w:rsid w:val="104F1F09"/>
    <w:rsid w:val="10B433BB"/>
    <w:rsid w:val="10CE1396"/>
    <w:rsid w:val="110F63DF"/>
    <w:rsid w:val="115034BE"/>
    <w:rsid w:val="11767B42"/>
    <w:rsid w:val="123B0365"/>
    <w:rsid w:val="123E7A4A"/>
    <w:rsid w:val="128B75EA"/>
    <w:rsid w:val="12CD43B5"/>
    <w:rsid w:val="12E44B8D"/>
    <w:rsid w:val="130B7D08"/>
    <w:rsid w:val="13576E94"/>
    <w:rsid w:val="13676A2B"/>
    <w:rsid w:val="13987C98"/>
    <w:rsid w:val="144E12A9"/>
    <w:rsid w:val="149D2C4F"/>
    <w:rsid w:val="14A92C39"/>
    <w:rsid w:val="152034C6"/>
    <w:rsid w:val="15F143FF"/>
    <w:rsid w:val="15F555B1"/>
    <w:rsid w:val="16111A87"/>
    <w:rsid w:val="167C538B"/>
    <w:rsid w:val="17180BF2"/>
    <w:rsid w:val="17446851"/>
    <w:rsid w:val="17465287"/>
    <w:rsid w:val="176230F4"/>
    <w:rsid w:val="17921E2F"/>
    <w:rsid w:val="19763BF8"/>
    <w:rsid w:val="1AEC1EA8"/>
    <w:rsid w:val="1B0C0FB0"/>
    <w:rsid w:val="1C1F5042"/>
    <w:rsid w:val="1C610CBF"/>
    <w:rsid w:val="1CE17917"/>
    <w:rsid w:val="1D4F1CC9"/>
    <w:rsid w:val="1E5155F3"/>
    <w:rsid w:val="1EED18EE"/>
    <w:rsid w:val="1F0B436A"/>
    <w:rsid w:val="1F1A3E64"/>
    <w:rsid w:val="1F3C7DAD"/>
    <w:rsid w:val="1FD1199D"/>
    <w:rsid w:val="21547C13"/>
    <w:rsid w:val="21CA0621"/>
    <w:rsid w:val="21D93D5B"/>
    <w:rsid w:val="221144A2"/>
    <w:rsid w:val="22422435"/>
    <w:rsid w:val="22D723DA"/>
    <w:rsid w:val="242F119E"/>
    <w:rsid w:val="24436AB3"/>
    <w:rsid w:val="244C073F"/>
    <w:rsid w:val="245E544D"/>
    <w:rsid w:val="247E59F8"/>
    <w:rsid w:val="24997F6E"/>
    <w:rsid w:val="250C68A6"/>
    <w:rsid w:val="253323A1"/>
    <w:rsid w:val="258A42A7"/>
    <w:rsid w:val="267E49C9"/>
    <w:rsid w:val="26907874"/>
    <w:rsid w:val="26EB4AC0"/>
    <w:rsid w:val="270724E3"/>
    <w:rsid w:val="27D16E13"/>
    <w:rsid w:val="27DD74BC"/>
    <w:rsid w:val="28435831"/>
    <w:rsid w:val="288C23F8"/>
    <w:rsid w:val="288D3427"/>
    <w:rsid w:val="29087779"/>
    <w:rsid w:val="29372878"/>
    <w:rsid w:val="295A7F9C"/>
    <w:rsid w:val="297069BD"/>
    <w:rsid w:val="2ADC0F55"/>
    <w:rsid w:val="2B2A3290"/>
    <w:rsid w:val="2B7D7AFD"/>
    <w:rsid w:val="2C0A78F2"/>
    <w:rsid w:val="2C173F2C"/>
    <w:rsid w:val="2C2C4139"/>
    <w:rsid w:val="2CE505C2"/>
    <w:rsid w:val="2D0D36BB"/>
    <w:rsid w:val="2D264135"/>
    <w:rsid w:val="2D7916D8"/>
    <w:rsid w:val="2DBD2768"/>
    <w:rsid w:val="2E84687C"/>
    <w:rsid w:val="2ED710EF"/>
    <w:rsid w:val="2ED7364E"/>
    <w:rsid w:val="2F48239C"/>
    <w:rsid w:val="2F613E57"/>
    <w:rsid w:val="2F6E64AB"/>
    <w:rsid w:val="2F94591F"/>
    <w:rsid w:val="30020E53"/>
    <w:rsid w:val="30723F39"/>
    <w:rsid w:val="31CD0D39"/>
    <w:rsid w:val="3253577A"/>
    <w:rsid w:val="33676EFC"/>
    <w:rsid w:val="33E3414F"/>
    <w:rsid w:val="33F94067"/>
    <w:rsid w:val="34030A42"/>
    <w:rsid w:val="34692908"/>
    <w:rsid w:val="34D95518"/>
    <w:rsid w:val="352009E9"/>
    <w:rsid w:val="35200BE2"/>
    <w:rsid w:val="35401F9A"/>
    <w:rsid w:val="35B00C78"/>
    <w:rsid w:val="36B77984"/>
    <w:rsid w:val="36C7570A"/>
    <w:rsid w:val="3735164A"/>
    <w:rsid w:val="375D45D5"/>
    <w:rsid w:val="37B74ED1"/>
    <w:rsid w:val="3802302D"/>
    <w:rsid w:val="380F671F"/>
    <w:rsid w:val="38223CA3"/>
    <w:rsid w:val="38D15864"/>
    <w:rsid w:val="38F1375D"/>
    <w:rsid w:val="39134FB6"/>
    <w:rsid w:val="392C0515"/>
    <w:rsid w:val="393B4B52"/>
    <w:rsid w:val="39DC369B"/>
    <w:rsid w:val="3A8B227D"/>
    <w:rsid w:val="3AEE2679"/>
    <w:rsid w:val="3B0719BF"/>
    <w:rsid w:val="3BBB6FB4"/>
    <w:rsid w:val="3BF15AB7"/>
    <w:rsid w:val="3CB03239"/>
    <w:rsid w:val="3CC80B7E"/>
    <w:rsid w:val="3DDA506E"/>
    <w:rsid w:val="4069743F"/>
    <w:rsid w:val="40C5605C"/>
    <w:rsid w:val="4117346F"/>
    <w:rsid w:val="41732F43"/>
    <w:rsid w:val="422731E5"/>
    <w:rsid w:val="424737BE"/>
    <w:rsid w:val="42A76AA7"/>
    <w:rsid w:val="43022862"/>
    <w:rsid w:val="43802697"/>
    <w:rsid w:val="438F40A0"/>
    <w:rsid w:val="439E440F"/>
    <w:rsid w:val="442E0187"/>
    <w:rsid w:val="44521A13"/>
    <w:rsid w:val="44825408"/>
    <w:rsid w:val="449D1C5D"/>
    <w:rsid w:val="44BA2FC8"/>
    <w:rsid w:val="451F0CD7"/>
    <w:rsid w:val="457059FD"/>
    <w:rsid w:val="460C247C"/>
    <w:rsid w:val="46296DEE"/>
    <w:rsid w:val="46BA37C7"/>
    <w:rsid w:val="47265A7A"/>
    <w:rsid w:val="47BE7AD2"/>
    <w:rsid w:val="4807076A"/>
    <w:rsid w:val="483B14FA"/>
    <w:rsid w:val="48A51960"/>
    <w:rsid w:val="4934446A"/>
    <w:rsid w:val="49646AF2"/>
    <w:rsid w:val="497B069D"/>
    <w:rsid w:val="49C16541"/>
    <w:rsid w:val="49D0321E"/>
    <w:rsid w:val="4B0B1454"/>
    <w:rsid w:val="4BE30FDE"/>
    <w:rsid w:val="4C445C75"/>
    <w:rsid w:val="4CAC17A3"/>
    <w:rsid w:val="4CEF7CAA"/>
    <w:rsid w:val="4CF86227"/>
    <w:rsid w:val="4D8107B6"/>
    <w:rsid w:val="4DA150FB"/>
    <w:rsid w:val="4DBE294B"/>
    <w:rsid w:val="4DD3232F"/>
    <w:rsid w:val="4EAD5941"/>
    <w:rsid w:val="4ED9734A"/>
    <w:rsid w:val="4FCA600C"/>
    <w:rsid w:val="503C545C"/>
    <w:rsid w:val="506B2B0A"/>
    <w:rsid w:val="510661CE"/>
    <w:rsid w:val="51652542"/>
    <w:rsid w:val="52607CE0"/>
    <w:rsid w:val="52F045D5"/>
    <w:rsid w:val="52FA0484"/>
    <w:rsid w:val="537D35C8"/>
    <w:rsid w:val="548A1A57"/>
    <w:rsid w:val="55AB02C0"/>
    <w:rsid w:val="55B313FE"/>
    <w:rsid w:val="55FC578D"/>
    <w:rsid w:val="56495B90"/>
    <w:rsid w:val="56BE65E5"/>
    <w:rsid w:val="578E4942"/>
    <w:rsid w:val="57AB6C97"/>
    <w:rsid w:val="588E4FF6"/>
    <w:rsid w:val="589168FC"/>
    <w:rsid w:val="58D75084"/>
    <w:rsid w:val="59565E90"/>
    <w:rsid w:val="5A9E51DB"/>
    <w:rsid w:val="5AB3665D"/>
    <w:rsid w:val="5B400CCA"/>
    <w:rsid w:val="5B4B567E"/>
    <w:rsid w:val="5B5E0F49"/>
    <w:rsid w:val="5B5E6110"/>
    <w:rsid w:val="5C292E8C"/>
    <w:rsid w:val="5C5D1D7F"/>
    <w:rsid w:val="5CC77975"/>
    <w:rsid w:val="5CEF615A"/>
    <w:rsid w:val="5D5453CD"/>
    <w:rsid w:val="5D742E09"/>
    <w:rsid w:val="5DD32F2D"/>
    <w:rsid w:val="5DE74C34"/>
    <w:rsid w:val="5E503143"/>
    <w:rsid w:val="5E556D8C"/>
    <w:rsid w:val="5F4019CA"/>
    <w:rsid w:val="5F724B4A"/>
    <w:rsid w:val="5FE44556"/>
    <w:rsid w:val="60275934"/>
    <w:rsid w:val="60E75DEA"/>
    <w:rsid w:val="60F96459"/>
    <w:rsid w:val="617A13D7"/>
    <w:rsid w:val="61C634E3"/>
    <w:rsid w:val="61C64CD9"/>
    <w:rsid w:val="62065D92"/>
    <w:rsid w:val="62DA6060"/>
    <w:rsid w:val="63134F5E"/>
    <w:rsid w:val="63890FD5"/>
    <w:rsid w:val="638E5CCA"/>
    <w:rsid w:val="644A400C"/>
    <w:rsid w:val="64AB6EC7"/>
    <w:rsid w:val="64FA72ED"/>
    <w:rsid w:val="651A0E20"/>
    <w:rsid w:val="655919FE"/>
    <w:rsid w:val="6561600D"/>
    <w:rsid w:val="65AA738E"/>
    <w:rsid w:val="65EA0CF6"/>
    <w:rsid w:val="66800D16"/>
    <w:rsid w:val="66A1300A"/>
    <w:rsid w:val="670514E4"/>
    <w:rsid w:val="671E65F1"/>
    <w:rsid w:val="679E6C3C"/>
    <w:rsid w:val="67D74A13"/>
    <w:rsid w:val="680317DD"/>
    <w:rsid w:val="689925D2"/>
    <w:rsid w:val="68CA6C69"/>
    <w:rsid w:val="68FD6D97"/>
    <w:rsid w:val="692A1662"/>
    <w:rsid w:val="69FD7A59"/>
    <w:rsid w:val="6B1E6273"/>
    <w:rsid w:val="6B320BA1"/>
    <w:rsid w:val="6C03238B"/>
    <w:rsid w:val="6C16685D"/>
    <w:rsid w:val="6CCE41FE"/>
    <w:rsid w:val="6D077077"/>
    <w:rsid w:val="6D3D703D"/>
    <w:rsid w:val="6D8D5093"/>
    <w:rsid w:val="6E045721"/>
    <w:rsid w:val="6E1542B5"/>
    <w:rsid w:val="6E914637"/>
    <w:rsid w:val="6EA81D9B"/>
    <w:rsid w:val="6F8C33E8"/>
    <w:rsid w:val="6FB025DC"/>
    <w:rsid w:val="70FC1997"/>
    <w:rsid w:val="713A362D"/>
    <w:rsid w:val="71791D68"/>
    <w:rsid w:val="71A761AF"/>
    <w:rsid w:val="71AA7692"/>
    <w:rsid w:val="71D71BEC"/>
    <w:rsid w:val="73047A92"/>
    <w:rsid w:val="73705625"/>
    <w:rsid w:val="74404EEC"/>
    <w:rsid w:val="74B668D2"/>
    <w:rsid w:val="75341EFC"/>
    <w:rsid w:val="776B35FD"/>
    <w:rsid w:val="784A128D"/>
    <w:rsid w:val="784D140D"/>
    <w:rsid w:val="784D5D45"/>
    <w:rsid w:val="784E74CE"/>
    <w:rsid w:val="788A5EED"/>
    <w:rsid w:val="79706545"/>
    <w:rsid w:val="7B9D2F31"/>
    <w:rsid w:val="7BA1610F"/>
    <w:rsid w:val="7C04058A"/>
    <w:rsid w:val="7C0B35E0"/>
    <w:rsid w:val="7C384635"/>
    <w:rsid w:val="7C5E2B1E"/>
    <w:rsid w:val="7D4C2A01"/>
    <w:rsid w:val="7DB62F6D"/>
    <w:rsid w:val="7DEF684A"/>
    <w:rsid w:val="7E2B42C3"/>
    <w:rsid w:val="7E9E3CC5"/>
    <w:rsid w:val="7ECB45E2"/>
    <w:rsid w:val="7FB03ADB"/>
    <w:rsid w:val="FA9DF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1"/>
    <w:basedOn w:val="1"/>
    <w:next w:val="1"/>
    <w:qFormat/>
    <w:uiPriority w:val="99"/>
  </w:style>
  <w:style w:type="paragraph" w:styleId="3">
    <w:name w:val="annotation text"/>
    <w:basedOn w:val="1"/>
    <w:link w:val="26"/>
    <w:qFormat/>
    <w:uiPriority w:val="0"/>
    <w:pPr>
      <w:jc w:val="left"/>
    </w:pPr>
  </w:style>
  <w:style w:type="paragraph" w:styleId="4">
    <w:name w:val="Body Text"/>
    <w:basedOn w:val="1"/>
    <w:qFormat/>
    <w:uiPriority w:val="1"/>
    <w:pPr>
      <w:ind w:left="400" w:firstLine="640"/>
    </w:pPr>
    <w:rPr>
      <w:rFonts w:ascii="仿宋_GB2312" w:hAnsi="仿宋_GB2312" w:eastAsia="仿宋_GB2312" w:cs="仿宋_GB2312"/>
      <w:i/>
      <w:sz w:val="32"/>
      <w:szCs w:val="32"/>
      <w:lang w:val="zh-CN" w:bidi="zh-CN"/>
    </w:rPr>
  </w:style>
  <w:style w:type="paragraph" w:styleId="5">
    <w:name w:val="Body Text Indent"/>
    <w:basedOn w:val="1"/>
    <w:qFormat/>
    <w:uiPriority w:val="0"/>
    <w:pPr>
      <w:ind w:firstLine="420"/>
    </w:pPr>
    <w:rPr>
      <w:rFonts w:ascii="楷体_GB2312" w:eastAsia="楷体_GB2312"/>
      <w:szCs w:val="20"/>
    </w:rPr>
  </w:style>
  <w:style w:type="paragraph" w:styleId="6">
    <w:name w:val="Balloon Text"/>
    <w:basedOn w:val="1"/>
    <w:link w:val="19"/>
    <w:qFormat/>
    <w:uiPriority w:val="0"/>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Title"/>
    <w:basedOn w:val="1"/>
    <w:next w:val="1"/>
    <w:qFormat/>
    <w:uiPriority w:val="0"/>
    <w:pPr>
      <w:spacing w:before="240" w:after="60"/>
      <w:jc w:val="center"/>
      <w:outlineLvl w:val="0"/>
    </w:pPr>
    <w:rPr>
      <w:rFonts w:ascii="Calibri Light" w:hAnsi="Calibri Light"/>
      <w:b/>
      <w:bCs/>
      <w:sz w:val="32"/>
      <w:szCs w:val="32"/>
    </w:rPr>
  </w:style>
  <w:style w:type="paragraph" w:styleId="11">
    <w:name w:val="annotation subject"/>
    <w:basedOn w:val="3"/>
    <w:next w:val="3"/>
    <w:link w:val="27"/>
    <w:qFormat/>
    <w:uiPriority w:val="0"/>
    <w:rPr>
      <w:b/>
      <w:bCs/>
    </w:rPr>
  </w:style>
  <w:style w:type="paragraph" w:styleId="12">
    <w:name w:val="Body Text First Indent 2"/>
    <w:basedOn w:val="5"/>
    <w:unhideWhenUsed/>
    <w:qFormat/>
    <w:uiPriority w:val="0"/>
    <w:pPr>
      <w:ind w:firstLine="20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qFormat/>
    <w:uiPriority w:val="0"/>
    <w:rPr>
      <w:sz w:val="21"/>
      <w:szCs w:val="21"/>
    </w:rPr>
  </w:style>
  <w:style w:type="character" w:customStyle="1" w:styleId="17">
    <w:name w:val="font11"/>
    <w:basedOn w:val="15"/>
    <w:qFormat/>
    <w:uiPriority w:val="0"/>
    <w:rPr>
      <w:rFonts w:hint="eastAsia" w:ascii="宋体" w:hAnsi="宋体" w:eastAsia="宋体" w:cs="宋体"/>
      <w:color w:val="000000"/>
      <w:sz w:val="20"/>
      <w:szCs w:val="20"/>
      <w:u w:val="none"/>
    </w:rPr>
  </w:style>
  <w:style w:type="character" w:customStyle="1" w:styleId="18">
    <w:name w:val="font21"/>
    <w:basedOn w:val="15"/>
    <w:qFormat/>
    <w:uiPriority w:val="0"/>
    <w:rPr>
      <w:rFonts w:hint="default" w:ascii="Times New Roman" w:hAnsi="Times New Roman" w:cs="Times New Roman"/>
      <w:color w:val="000000"/>
      <w:sz w:val="20"/>
      <w:szCs w:val="20"/>
      <w:u w:val="none"/>
    </w:rPr>
  </w:style>
  <w:style w:type="character" w:customStyle="1" w:styleId="19">
    <w:name w:val="批注框文本 字符"/>
    <w:basedOn w:val="15"/>
    <w:link w:val="6"/>
    <w:qFormat/>
    <w:uiPriority w:val="0"/>
    <w:rPr>
      <w:rFonts w:ascii="Calibri" w:hAnsi="Calibri"/>
      <w:kern w:val="2"/>
      <w:sz w:val="18"/>
      <w:szCs w:val="18"/>
    </w:rPr>
  </w:style>
  <w:style w:type="character" w:customStyle="1" w:styleId="20">
    <w:name w:val="页眉 字符"/>
    <w:basedOn w:val="15"/>
    <w:link w:val="8"/>
    <w:qFormat/>
    <w:uiPriority w:val="0"/>
    <w:rPr>
      <w:rFonts w:ascii="Calibri" w:hAnsi="Calibri"/>
      <w:kern w:val="2"/>
      <w:sz w:val="18"/>
      <w:szCs w:val="18"/>
    </w:rPr>
  </w:style>
  <w:style w:type="character" w:customStyle="1" w:styleId="21">
    <w:name w:val="font01"/>
    <w:basedOn w:val="15"/>
    <w:qFormat/>
    <w:uiPriority w:val="0"/>
    <w:rPr>
      <w:rFonts w:hint="eastAsia" w:ascii="宋体" w:hAnsi="宋体" w:eastAsia="宋体" w:cs="宋体"/>
      <w:color w:val="000000"/>
      <w:sz w:val="21"/>
      <w:szCs w:val="21"/>
      <w:u w:val="none"/>
    </w:rPr>
  </w:style>
  <w:style w:type="character" w:customStyle="1" w:styleId="22">
    <w:name w:val="font41"/>
    <w:basedOn w:val="15"/>
    <w:qFormat/>
    <w:uiPriority w:val="0"/>
    <w:rPr>
      <w:rFonts w:hint="eastAsia" w:ascii="宋体" w:hAnsi="宋体" w:eastAsia="宋体" w:cs="宋体"/>
      <w:color w:val="000000"/>
      <w:sz w:val="21"/>
      <w:szCs w:val="21"/>
      <w:u w:val="none"/>
    </w:rPr>
  </w:style>
  <w:style w:type="character" w:customStyle="1" w:styleId="23">
    <w:name w:val="font31"/>
    <w:basedOn w:val="15"/>
    <w:qFormat/>
    <w:uiPriority w:val="0"/>
    <w:rPr>
      <w:rFonts w:hint="default" w:ascii="Times New Roman" w:hAnsi="Times New Roman" w:cs="Times New Roman"/>
      <w:color w:val="000000"/>
      <w:sz w:val="21"/>
      <w:szCs w:val="21"/>
      <w:u w:val="none"/>
    </w:rPr>
  </w:style>
  <w:style w:type="paragraph" w:customStyle="1" w:styleId="24">
    <w:name w:val="Default"/>
    <w:basedOn w:val="1"/>
    <w:qFormat/>
    <w:uiPriority w:val="0"/>
    <w:pPr>
      <w:autoSpaceDE w:val="0"/>
      <w:autoSpaceDN w:val="0"/>
      <w:adjustRightInd w:val="0"/>
      <w:jc w:val="left"/>
    </w:pPr>
    <w:rPr>
      <w:rFonts w:ascii="..ì." w:hAnsi="..ì." w:eastAsia="..ì."/>
      <w:color w:val="000000"/>
      <w:kern w:val="0"/>
      <w:sz w:val="24"/>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character" w:customStyle="1" w:styleId="26">
    <w:name w:val="批注文字 字符"/>
    <w:basedOn w:val="15"/>
    <w:link w:val="3"/>
    <w:qFormat/>
    <w:uiPriority w:val="0"/>
    <w:rPr>
      <w:rFonts w:ascii="Calibri" w:hAnsi="Calibri"/>
      <w:kern w:val="2"/>
      <w:sz w:val="21"/>
      <w:szCs w:val="24"/>
    </w:rPr>
  </w:style>
  <w:style w:type="character" w:customStyle="1" w:styleId="27">
    <w:name w:val="批注主题 字符"/>
    <w:basedOn w:val="26"/>
    <w:link w:val="11"/>
    <w:qFormat/>
    <w:uiPriority w:val="0"/>
    <w:rPr>
      <w:rFonts w:ascii="Calibri" w:hAnsi="Calibri"/>
      <w:b/>
      <w:bCs/>
      <w:kern w:val="2"/>
      <w:sz w:val="21"/>
      <w:szCs w:val="24"/>
    </w:rPr>
  </w:style>
  <w:style w:type="paragraph" w:customStyle="1" w:styleId="28">
    <w:name w:val="修订2"/>
    <w:hidden/>
    <w:semiHidden/>
    <w:qFormat/>
    <w:uiPriority w:val="99"/>
    <w:rPr>
      <w:rFonts w:ascii="Calibri" w:hAnsi="Calibri" w:eastAsia="宋体" w:cs="Times New Roman"/>
      <w:kern w:val="2"/>
      <w:sz w:val="21"/>
      <w:szCs w:val="24"/>
      <w:lang w:val="en-US" w:eastAsia="zh-CN" w:bidi="ar-SA"/>
    </w:rPr>
  </w:style>
  <w:style w:type="paragraph" w:customStyle="1" w:styleId="29">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921</Words>
  <Characters>5253</Characters>
  <Lines>43</Lines>
  <Paragraphs>12</Paragraphs>
  <TotalTime>26</TotalTime>
  <ScaleCrop>false</ScaleCrop>
  <LinksUpToDate>false</LinksUpToDate>
  <CharactersWithSpaces>6162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2020-09-09T13:35:00Z</dcterms:created>
  <dc:creator>WFY</dc:creator>
  <cp:lastModifiedBy>Administrator</cp:lastModifiedBy>
  <cp:lastPrinted>2020-11-24T13:52:00Z</cp:lastPrinted>
  <dcterms:modified xsi:type="dcterms:W3CDTF">2023-09-13T02:17:27Z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D56E200F2B0D4751BF8444C9ABBD5A19</vt:lpwstr>
  </property>
</Properties>
</file>