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岳麓区</w:t>
      </w:r>
      <w:r>
        <w:rPr>
          <w:rFonts w:hint="eastAsia" w:ascii="宋体" w:hAnsi="宋体" w:eastAsia="方正小标宋简体"/>
          <w:sz w:val="46"/>
          <w:szCs w:val="46"/>
          <w:lang w:eastAsia="zh-CN"/>
        </w:rPr>
        <w:t>纪委</w:t>
      </w:r>
      <w:r>
        <w:rPr>
          <w:rFonts w:hint="eastAsia" w:ascii="宋体" w:hAnsi="宋体" w:eastAsia="方正小标宋简体"/>
          <w:sz w:val="46"/>
          <w:szCs w:val="46"/>
          <w:u w:val="single"/>
          <w:lang w:val="en-US" w:eastAsia="zh-CN"/>
        </w:rPr>
        <w:t>2019</w:t>
      </w:r>
      <w:r>
        <w:rPr>
          <w:rFonts w:hint="eastAsia" w:ascii="宋体" w:hAnsi="宋体" w:eastAsia="方正小标宋简体"/>
          <w:sz w:val="46"/>
          <w:szCs w:val="46"/>
        </w:rPr>
        <w:t>年度整</w:t>
      </w:r>
      <w:r>
        <w:rPr>
          <w:rFonts w:hint="eastAsia" w:ascii="宋体" w:hAnsi="宋体" w:eastAsia="方正小标宋简体"/>
          <w:sz w:val="46"/>
          <w:szCs w:val="46"/>
          <w:lang w:eastAsia="zh-CN"/>
        </w:rPr>
        <w:t>体</w:t>
      </w:r>
      <w:r>
        <w:rPr>
          <w:rFonts w:hint="eastAsia" w:ascii="宋体" w:hAnsi="宋体" w:eastAsia="方正小标宋简体"/>
          <w:sz w:val="46"/>
          <w:szCs w:val="46"/>
        </w:rPr>
        <w:t>支出</w:t>
      </w:r>
    </w:p>
    <w:p>
      <w:pPr>
        <w:spacing w:line="8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一、部门（单位）概况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（一）部门（单位）基本情况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bookmarkStart w:id="0" w:name="_GoBack"/>
      <w:r>
        <w:rPr>
          <w:rFonts w:hint="eastAsia" w:ascii="宋体" w:hAnsi="宋体" w:eastAsia="仿宋_GB2312"/>
          <w:sz w:val="32"/>
          <w:szCs w:val="32"/>
        </w:rPr>
        <w:t>中共长沙市岳麓区</w:t>
      </w:r>
      <w:r>
        <w:rPr>
          <w:rFonts w:hint="eastAsia" w:ascii="宋体" w:hAnsi="宋体" w:eastAsia="仿宋_GB2312"/>
          <w:sz w:val="32"/>
          <w:szCs w:val="32"/>
          <w:lang w:eastAsia="zh-CN"/>
        </w:rPr>
        <w:t>纪委监委</w:t>
      </w:r>
      <w:r>
        <w:rPr>
          <w:rFonts w:hint="eastAsia" w:ascii="宋体" w:hAnsi="宋体" w:eastAsia="仿宋_GB2312"/>
          <w:sz w:val="32"/>
          <w:szCs w:val="32"/>
        </w:rPr>
        <w:t>为财政全额拨款单位，现有编制人数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>83人，临聘人员编制数8人，目前实有在职在编人员57人，临聘人员7人。</w:t>
      </w:r>
      <w:bookmarkEnd w:id="0"/>
      <w:r>
        <w:rPr>
          <w:rFonts w:hint="eastAsia" w:ascii="宋体" w:hAnsi="宋体" w:eastAsia="仿宋_GB2312"/>
          <w:sz w:val="32"/>
          <w:szCs w:val="32"/>
          <w:lang w:val="en-US" w:eastAsia="zh-CN"/>
        </w:rPr>
        <w:t>2019年部门预算编报范围为岳麓区纪委监委机关，其中内设机构11个，即办公室、党风政风监督室、信访室、案件监督管理室、第一纪检监察室、第二纪检监察室、第三纪检监察室、第四纪检监察室、第五纪检监察室、纪检监察干部监督室、案件审理室。直属单位1个，纪检监察信息中心。</w:t>
      </w:r>
    </w:p>
    <w:p>
      <w:pPr>
        <w:numPr>
          <w:ilvl w:val="0"/>
          <w:numId w:val="1"/>
        </w:num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部门（单位）整体支出规模、使用方向和主要内容、涉及范围等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Fonts w:ascii="宋体" w:hAnsi="宋体" w:eastAsia="仿宋_GB2312" w:cs="宋体"/>
          <w:sz w:val="32"/>
          <w:szCs w:val="32"/>
        </w:rPr>
        <w:t>2019</w:t>
      </w:r>
      <w:r>
        <w:rPr>
          <w:rFonts w:hint="eastAsia" w:ascii="宋体" w:hAnsi="宋体" w:eastAsia="仿宋_GB2312" w:cs="宋体"/>
          <w:sz w:val="32"/>
          <w:szCs w:val="32"/>
        </w:rPr>
        <w:t>年，本部门支出</w:t>
      </w:r>
      <w:r>
        <w:rPr>
          <w:rFonts w:ascii="宋体" w:hAnsi="宋体" w:eastAsia="仿宋_GB2312" w:cs="宋体"/>
          <w:sz w:val="32"/>
          <w:szCs w:val="32"/>
        </w:rPr>
        <w:t>2,045</w:t>
      </w:r>
      <w:r>
        <w:rPr>
          <w:rFonts w:hint="eastAsia" w:ascii="宋体" w:hAnsi="宋体" w:eastAsia="仿宋_GB2312" w:cs="宋体"/>
          <w:sz w:val="32"/>
          <w:szCs w:val="32"/>
        </w:rPr>
        <w:t>万元，其中：基本支出</w:t>
      </w:r>
      <w:r>
        <w:rPr>
          <w:rFonts w:ascii="宋体" w:hAnsi="宋体" w:eastAsia="仿宋_GB2312" w:cs="宋体"/>
          <w:sz w:val="32"/>
          <w:szCs w:val="32"/>
        </w:rPr>
        <w:t>1,552</w:t>
      </w:r>
      <w:r>
        <w:rPr>
          <w:rFonts w:hint="eastAsia" w:ascii="宋体" w:hAnsi="宋体" w:eastAsia="仿宋_GB2312" w:cs="宋体"/>
          <w:sz w:val="32"/>
          <w:szCs w:val="32"/>
        </w:rPr>
        <w:t>万元，项目支出</w:t>
      </w:r>
      <w:r>
        <w:rPr>
          <w:rFonts w:ascii="宋体" w:hAnsi="宋体" w:eastAsia="仿宋_GB2312" w:cs="宋体"/>
          <w:sz w:val="32"/>
          <w:szCs w:val="32"/>
        </w:rPr>
        <w:t>493</w:t>
      </w: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  <w:t>万元。主要用于加强我区党风廉政建设和反腐败工作。开展优化营商环境和建设环境等各类专项行动。完善领导包案、挂牌督办、片区协作等工作机制，有力推动全区纪检监察工作高质量发展。不断巩固发展全区反腐败斗争压倒性胜利态势，政治生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营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商环境持续好转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人民群众在正风反腐中的获得感持续提升。</w:t>
      </w:r>
    </w:p>
    <w:p>
      <w:pPr>
        <w:numPr>
          <w:ilvl w:val="0"/>
          <w:numId w:val="0"/>
        </w:num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二、部门（单位）整体支出管理及使用情况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（一）基本支出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基本支出1,552万元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宋体"/>
          <w:sz w:val="32"/>
          <w:szCs w:val="32"/>
        </w:rPr>
        <w:t>系为保障单位机构正常运转、完成日常工作任务而发生的各项支出，主要包括基本工资、津贴补贴等人员经费以及办公费、印刷费、水电费、办公设备购置等日常公用经费。2019年，“三公”经费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支出</w:t>
      </w:r>
      <w:r>
        <w:rPr>
          <w:rFonts w:hint="eastAsia" w:ascii="宋体" w:hAnsi="宋体" w:eastAsia="仿宋_GB2312" w:cs="宋体"/>
          <w:sz w:val="32"/>
          <w:szCs w:val="32"/>
        </w:rPr>
        <w:t>34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宋体"/>
          <w:sz w:val="32"/>
          <w:szCs w:val="32"/>
        </w:rPr>
        <w:t>2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9万元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宋体"/>
          <w:sz w:val="32"/>
          <w:szCs w:val="32"/>
        </w:rPr>
        <w:t>其中：因公出国（境）费0元，公务接待费0元，公务用车购置及运行维护费完成34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.29万</w:t>
      </w:r>
      <w:r>
        <w:rPr>
          <w:rFonts w:hint="eastAsia" w:ascii="宋体" w:hAnsi="宋体" w:eastAsia="仿宋_GB2312" w:cs="宋体"/>
          <w:sz w:val="32"/>
          <w:szCs w:val="32"/>
        </w:rPr>
        <w:t>元，主要原因是：今年新购车辆一台，核销两台老旧车辆。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（二）专项支出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宋体" w:hAnsi="宋体" w:eastAsia="仿宋_GB2312" w:cs="宋体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专项支出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493</w:t>
      </w:r>
      <w:r>
        <w:rPr>
          <w:rFonts w:hint="eastAsia" w:ascii="宋体" w:hAnsi="宋体" w:eastAsia="仿宋_GB2312" w:cs="宋体"/>
          <w:sz w:val="32"/>
          <w:szCs w:val="32"/>
        </w:rPr>
        <w:t>万元，系单位为完成特定行政工作任务或事业发展目标而发生的支出，包括“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监察办案专项经费</w:t>
      </w:r>
      <w:r>
        <w:rPr>
          <w:rFonts w:hint="eastAsia" w:ascii="宋体" w:hAnsi="宋体" w:eastAsia="仿宋_GB2312" w:cs="宋体"/>
          <w:sz w:val="32"/>
          <w:szCs w:val="32"/>
        </w:rPr>
        <w:t>”、“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监督执纪工作专项经费</w:t>
      </w:r>
      <w:r>
        <w:rPr>
          <w:rFonts w:hint="eastAsia" w:ascii="宋体" w:hAnsi="宋体" w:eastAsia="仿宋_GB2312" w:cs="宋体"/>
          <w:sz w:val="32"/>
          <w:szCs w:val="32"/>
        </w:rPr>
        <w:t>”、“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作风建设工作专项经费</w:t>
      </w:r>
      <w:r>
        <w:rPr>
          <w:rFonts w:hint="eastAsia" w:ascii="宋体" w:hAnsi="宋体" w:eastAsia="仿宋_GB2312" w:cs="宋体"/>
          <w:sz w:val="32"/>
          <w:szCs w:val="32"/>
        </w:rPr>
        <w:t>”、“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廉政宣教工作专项经费</w:t>
      </w:r>
      <w:r>
        <w:rPr>
          <w:rFonts w:hint="eastAsia" w:ascii="宋体" w:hAnsi="宋体" w:eastAsia="仿宋_GB2312" w:cs="宋体"/>
          <w:sz w:val="32"/>
          <w:szCs w:val="32"/>
        </w:rPr>
        <w:t>”等</w:t>
      </w:r>
      <w:r>
        <w:rPr>
          <w:rFonts w:hint="eastAsia" w:ascii="宋体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宋体"/>
          <w:sz w:val="32"/>
          <w:szCs w:val="32"/>
        </w:rPr>
        <w:t>项经费，主要用于履行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区纪委执纪、检查、问责三大职责；区监委</w:t>
      </w:r>
      <w:r>
        <w:rPr>
          <w:rFonts w:hint="eastAsia" w:ascii="宋体" w:hAnsi="宋体" w:eastAsia="仿宋_GB2312" w:cs="宋体"/>
          <w:sz w:val="32"/>
          <w:szCs w:val="32"/>
        </w:rPr>
        <w:t>监督、调查、处置三大职责，深入推进纪检监察一体化建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设</w:t>
      </w:r>
      <w:r>
        <w:rPr>
          <w:rFonts w:hint="eastAsia" w:ascii="宋体" w:hAnsi="宋体" w:eastAsia="仿宋_GB2312" w:cs="宋体"/>
          <w:sz w:val="32"/>
          <w:szCs w:val="32"/>
        </w:rPr>
        <w:t>。</w:t>
      </w:r>
      <w:r>
        <w:rPr>
          <w:rFonts w:hint="eastAsia" w:ascii="宋体" w:hAnsi="宋体" w:eastAsia="仿宋_GB2312" w:cs="宋体"/>
          <w:sz w:val="32"/>
          <w:szCs w:val="32"/>
          <w:lang w:eastAsia="zh-CN"/>
        </w:rPr>
        <w:t>加强作风建设，</w:t>
      </w:r>
      <w:r>
        <w:rPr>
          <w:rFonts w:hint="eastAsia" w:ascii="宋体" w:hAnsi="宋体" w:eastAsia="仿宋_GB2312" w:cs="宋体"/>
          <w:sz w:val="32"/>
          <w:szCs w:val="32"/>
        </w:rPr>
        <w:t>廉政建设、宣传、培训和纪检监察等方面专项工作。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三、部门（单位）专项组织实施情况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（一）专项组织情况分析</w:t>
      </w:r>
    </w:p>
    <w:p>
      <w:pPr>
        <w:pStyle w:val="11"/>
        <w:ind w:firstLine="640" w:firstLineChars="200"/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  <w:t>根据《长沙市岳麓区人民政府办公室关于实施2019年财政支出绩效评价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紧合起来，推动各项工作落实。</w:t>
      </w:r>
    </w:p>
    <w:p>
      <w:pPr>
        <w:numPr>
          <w:ilvl w:val="0"/>
          <w:numId w:val="0"/>
        </w:numPr>
        <w:spacing w:line="600" w:lineRule="exact"/>
        <w:ind w:leftChars="200" w:firstLine="320" w:firstLineChars="1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  <w:lang w:eastAsia="zh-CN"/>
        </w:rPr>
        <w:t>（二）</w:t>
      </w:r>
      <w:r>
        <w:rPr>
          <w:rFonts w:hint="eastAsia" w:ascii="宋体" w:hAnsi="宋体" w:eastAsia="仿宋_GB2312"/>
          <w:sz w:val="32"/>
          <w:szCs w:val="32"/>
        </w:rPr>
        <w:t>专项管理情况分析</w:t>
      </w:r>
    </w:p>
    <w:p>
      <w:pPr>
        <w:pStyle w:val="11"/>
        <w:ind w:firstLine="640" w:firstLineChars="200"/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Times New Roman"/>
          <w:kern w:val="2"/>
          <w:sz w:val="32"/>
          <w:szCs w:val="32"/>
          <w:lang w:val="en-US" w:eastAsia="zh-CN" w:bidi="ar-SA"/>
        </w:rPr>
        <w:t>我委始终坚持规范财务制度，强化财务管理，在管好用好项目经费上下功夫。一是制定并长期坚持和完善了财务制度，机关所有经费实行集中统一管理。二是严格审核监督，相关人员严格把好审核报销关，对于不符合规定的开支，一律不予报销。各项经费的开支情况，接受区财政局的经常性监督。三是不断加强对项目经费管理使用的检查力度，发现问题及时纠正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部门（单位）整体支出绩效情况</w:t>
      </w:r>
    </w:p>
    <w:p>
      <w:pPr>
        <w:spacing w:line="600" w:lineRule="exact"/>
        <w:ind w:firstLine="656" w:firstLineChars="200"/>
        <w:jc w:val="left"/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区纪委区监委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在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纪委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监委和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区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委坚强领导下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坚持稳中求进、实事求是、依规依纪依法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有力推动全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区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纪检监察工作高质量发展。</w:t>
      </w:r>
    </w:p>
    <w:p>
      <w:pPr>
        <w:spacing w:line="600" w:lineRule="exact"/>
        <w:ind w:firstLine="659" w:firstLineChars="200"/>
        <w:jc w:val="left"/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宋体" w:hAnsi="宋体" w:eastAsia="楷体_GB2312" w:cs="楷体_GB2312"/>
          <w:b/>
          <w:bCs/>
          <w:color w:val="000000"/>
          <w:spacing w:val="4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紧紧围绕贯彻落实党中央重大决策部署和省委、市委、区委工作要求开展政治监督。强化管党治党政治责任，建立领导干部开展谈话提醒情况报告制度，区四大家领导干部对其他处级干部和科级干部开展谈话提醒1854人次、全区科职党员领导干部开展谈话提醒8270人次。办理“两个责任”落实不力责任追究案件46件、处理90人，其中责令书面检查1个党组，给予党纪政务处分7人，组织处理83人。</w:t>
      </w:r>
    </w:p>
    <w:p>
      <w:pPr>
        <w:spacing w:line="600" w:lineRule="exact"/>
        <w:ind w:firstLine="659" w:firstLineChars="200"/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宋体" w:hAnsi="宋体" w:eastAsia="仿宋_GB2312" w:cs="仿宋_GB2312"/>
          <w:b/>
          <w:bCs/>
          <w:color w:val="000000"/>
          <w:spacing w:val="4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全面落实“基层减负年”各项举措。查处形式主义、官僚主义问题3起、问责13人，其中给予党纪政务处分 3人，组织处理10人。查处违反中央八项规定精神问题26件、处理27人，其中给予党纪政务处分13人，组织处理14人，通报典型案例20件36人。组织全区64名县处级以上领导干部、863名副科职以上领导干部开展违规经商办企业问题自查自纠，发现问题线索２条，给予党纪处分１人。</w:t>
      </w:r>
    </w:p>
    <w:p>
      <w:pPr>
        <w:spacing w:line="600" w:lineRule="exact"/>
        <w:ind w:firstLine="656" w:firstLineChars="200"/>
        <w:rPr>
          <w:rFonts w:hint="eastAsia" w:ascii="宋体" w:hAnsi="宋体" w:eastAsia="仿宋_GB2312" w:cs="仿宋_GB2312"/>
          <w:color w:val="000000"/>
          <w:spacing w:val="4"/>
          <w:sz w:val="24"/>
          <w:szCs w:val="24"/>
          <w:lang w:eastAsia="zh-CN"/>
        </w:rPr>
      </w:pP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坚持抓日常、重长效，纪检监察“四个监督”更加有力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。严格落实重大事项报告制度，全区党员干部向区纪委报告重大事项125人次。对全区副科级以上干部全面建立和完善廉政档案900份，实行精准“画像”。运用“四种形态”处理4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人次，第一至第四种形态分别占比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77.5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%、1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.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%、3.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%、2.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%。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全年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开展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轮常规巡察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1次村级党组织交叉巡察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共巡察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个街（镇）、区直机关党组织和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46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个村（社区）党组织，发现各类突出问题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562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个，移交问题线索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31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件，建立健全制度104项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，巡察整改“后半篇”文章扎实推进。</w:t>
      </w:r>
    </w:p>
    <w:p>
      <w:pPr>
        <w:spacing w:line="600" w:lineRule="exact"/>
        <w:ind w:firstLine="659" w:firstLineChars="200"/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/>
          <w:bCs/>
          <w:color w:val="000000"/>
          <w:spacing w:val="4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坚持抓惩治不放松，让利剑高悬、震慑常在，营造不敢腐的氛围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全区各级纪检监察组织立案11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件，涉及科级干部1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人，采取留置措施5人，移送司法机关2人，挽回经济损失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1026.34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万元。通报典型案例问题14件涉及37家单位个人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。</w:t>
      </w:r>
    </w:p>
    <w:p>
      <w:pPr>
        <w:spacing w:line="600" w:lineRule="exact"/>
        <w:ind w:firstLine="659" w:firstLineChars="200"/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宋体" w:hAnsi="宋体" w:eastAsia="楷体_GB2312" w:cs="楷体_GB2312"/>
          <w:b/>
          <w:bCs/>
          <w:color w:val="000000"/>
          <w:spacing w:val="4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始终坚持以人民为中心的政治立场，着力解决群众反映强烈、损害群众利益的突出问题。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提级审核信访举报问题120件，提级办理信访举报件64件，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委领导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班子成员包案30件，指导开展公开答复与公开评议5起，化解群信群访、重信重访问题4起。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严肃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查处群众身边腐败和作风问题案件85件、处理154人，其中给予党纪政务处分37人，组织处理117人，通报典型案例7起8人，追缴退还资金6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.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8万元。推动深挖彻查涉黑涉恶腐败和“保护伞”问题，受理并处置涉黑涉恶腐败、“保护伞”及追责问责问题线索55件，其中立案查办“保护伞”问题4人，涉黑涉恶腐败9人，因履职不力问责处理16人，采取留置措施1人，向区扫黑办移送涉黑涉恶问题线索1件。</w:t>
      </w:r>
    </w:p>
    <w:p>
      <w:pPr>
        <w:spacing w:line="600" w:lineRule="exact"/>
        <w:ind w:firstLine="659" w:firstLineChars="200"/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宋体" w:hAnsi="宋体" w:eastAsia="楷体_GB2312" w:cs="楷体_GB2312"/>
          <w:b/>
          <w:bCs/>
          <w:color w:val="000000"/>
          <w:spacing w:val="4"/>
          <w:sz w:val="32"/>
          <w:szCs w:val="32"/>
          <w:lang w:val="en-US" w:eastAsia="zh-CN"/>
        </w:rPr>
        <w:t>6、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纪检监察干部队伍建设更有成效。立全区纪检监察系统“月末课堂”制度，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将思想政治教育、党纪法规教育、业务能力教育纳入其中，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积极为纪检监察干部成长搭建平台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。严格落实纪检监察干部专职专责工作要求，开展“全员培训”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不断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提升实战能力。开展形式主义、官僚主义自查自纠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，对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自查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的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32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个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问题逐一整改。加强内部监督，开展系统内作风建设明察暗访4次，受理各类违纪违规问题线索5条，其中约谈1人，提醒谈话2人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。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强化审理的审核把关作用，坚持精准思维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提升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案件质量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</w:rPr>
        <w:t>改变定性量纪10件。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</w:t>
      </w:r>
    </w:p>
    <w:p>
      <w:pPr>
        <w:spacing w:line="600" w:lineRule="exact"/>
        <w:ind w:firstLine="656" w:firstLineChars="200"/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1、2019年初，9个派驻纪检组工作经费均列入各派驻单位全年预算，2019年5月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eastAsia="zh-CN"/>
        </w:rPr>
        <w:t>根据上级纪委相关工作要求及我区纪检监察工作实际需求，将该部分工作经费调整至</w:t>
      </w: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区纪委全年预算。</w:t>
      </w:r>
    </w:p>
    <w:p>
      <w:pPr>
        <w:numPr>
          <w:ilvl w:val="0"/>
          <w:numId w:val="3"/>
        </w:numPr>
        <w:spacing w:line="600" w:lineRule="exact"/>
        <w:ind w:firstLine="656" w:firstLineChars="200"/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鉴于纪检监察系统办案需求的不可控性，无法准确预算全年办案经费需求。</w:t>
      </w:r>
    </w:p>
    <w:p>
      <w:pPr>
        <w:numPr>
          <w:ilvl w:val="0"/>
          <w:numId w:val="3"/>
        </w:numPr>
        <w:spacing w:line="600" w:lineRule="exact"/>
        <w:ind w:firstLine="656" w:firstLineChars="200"/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pacing w:val="4"/>
          <w:sz w:val="32"/>
          <w:szCs w:val="32"/>
          <w:lang w:val="en-US" w:eastAsia="zh-CN"/>
        </w:rPr>
        <w:t>公务交通补贴预算指标下达错误。预算应为39.97万元，实际下达399.97万元。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六、改进措施和有关建议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1、落实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纪律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监察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体制改革要求，规范区纪委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机关及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派驻机构纪检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监察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专项工作经费开支管理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保障区纪委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机关及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派驻机构纪律审查、监督执纪问责工作的顺利进行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2、探索如何科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zh-CN" w:eastAsia="zh-CN"/>
        </w:rPr>
        <w:t>学设置预算绩效指标，使之更贴合纪检监察工作的实际。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304" w:bottom="1701" w:left="1588" w:header="851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D2TH3RAAAAAwEAAA8AAAAAAAAAAQAgAAAAIgAAAGRycy9kb3du&#10;cmV2LnhtbFBLAQIUABQAAAAIAIdO4kDIKsOgzQEAAJc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- 4 -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78AE"/>
    <w:multiLevelType w:val="singleLevel"/>
    <w:tmpl w:val="0E0078A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4D439CA6"/>
    <w:multiLevelType w:val="singleLevel"/>
    <w:tmpl w:val="4D439CA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5C4AA2"/>
    <w:multiLevelType w:val="singleLevel"/>
    <w:tmpl w:val="5A5C4A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905A2"/>
    <w:rsid w:val="254918D5"/>
    <w:rsid w:val="2EDC02E7"/>
    <w:rsid w:val="37F655E6"/>
    <w:rsid w:val="3C9905A2"/>
    <w:rsid w:val="3CC22DB3"/>
    <w:rsid w:val="533E6294"/>
    <w:rsid w:val="560817B5"/>
    <w:rsid w:val="5F0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line="360" w:lineRule="auto"/>
      <w:outlineLvl w:val="2"/>
    </w:pPr>
    <w:rPr>
      <w:rFonts w:eastAsia="楷体_GB2312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customStyle="1" w:styleId="10">
    <w:name w:val=" Char Char2"/>
    <w:link w:val="2"/>
    <w:qFormat/>
    <w:uiPriority w:val="0"/>
    <w:rPr>
      <w:rFonts w:eastAsia="楷体_GB2312"/>
      <w:b/>
      <w:sz w:val="32"/>
    </w:r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2020-03-26T03:20:00Z</dcterms:created>
  <dc:creator>可儿</dc:creator>
  <cp:lastModifiedBy>可儿</cp:lastModifiedBy>
  <cp:lastPrinted>2020-09-01T08:12:00Z</cp:lastPrinted>
  <dcterms:modified xsi:type="dcterms:W3CDTF">2021-01-12T07:51:54Z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