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方正小标宋_GBK" w:asciiTheme="minorEastAsia" w:hAnsiTheme="minorEastAsia"/>
          <w:sz w:val="36"/>
          <w:szCs w:val="36"/>
        </w:rPr>
      </w:pPr>
      <w:r>
        <w:rPr>
          <w:rFonts w:hint="eastAsia" w:cs="仿宋" w:asciiTheme="minorEastAsia" w:hAnsiTheme="minorEastAsia"/>
          <w:sz w:val="36"/>
          <w:szCs w:val="36"/>
        </w:rPr>
        <w:t>2021</w:t>
      </w:r>
      <w:r>
        <w:rPr>
          <w:rFonts w:hint="eastAsia" w:cs="方正小标宋_GBK" w:asciiTheme="minorEastAsia" w:hAnsiTheme="minorEastAsia"/>
          <w:sz w:val="36"/>
          <w:szCs w:val="36"/>
        </w:rPr>
        <w:t>年度</w:t>
      </w:r>
      <w:r>
        <w:rPr>
          <w:rFonts w:hint="eastAsia" w:cs="仿宋" w:asciiTheme="minorEastAsia" w:hAnsiTheme="minorEastAsia"/>
          <w:sz w:val="36"/>
          <w:szCs w:val="36"/>
        </w:rPr>
        <w:t>长沙市岳麓区总工会</w:t>
      </w:r>
      <w:r>
        <w:rPr>
          <w:rFonts w:hint="eastAsia" w:cs="方正小标宋_GBK" w:asciiTheme="minorEastAsia" w:hAnsiTheme="minorEastAsia"/>
          <w:sz w:val="36"/>
          <w:szCs w:val="36"/>
        </w:rPr>
        <w:t>单位部门整体支出预算绩效</w:t>
      </w:r>
      <w:r>
        <w:rPr>
          <w:rFonts w:cs="方正小标宋_GBK" w:asciiTheme="minorEastAsia" w:hAnsiTheme="minorEastAsia"/>
          <w:sz w:val="36"/>
          <w:szCs w:val="36"/>
        </w:rPr>
        <w:t>自评报告</w:t>
      </w:r>
    </w:p>
    <w:p>
      <w:pPr>
        <w:numPr>
          <w:ilvl w:val="0"/>
          <w:numId w:val="1"/>
        </w:numP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部门（单位）概况</w:t>
      </w:r>
    </w:p>
    <w:p>
      <w:pP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（一）部门（单位）基本情况</w:t>
      </w:r>
    </w:p>
    <w:p>
      <w:pPr>
        <w:ind w:firstLine="600" w:firstLineChars="200"/>
        <w:rPr>
          <w:rFonts w:cs="仿宋_GB2312" w:asciiTheme="majorEastAsia" w:hAnsiTheme="majorEastAsia" w:eastAsiaTheme="majorEastAsia"/>
          <w:sz w:val="30"/>
          <w:szCs w:val="30"/>
        </w:rPr>
      </w:pPr>
      <w:r>
        <w:rPr>
          <w:rFonts w:hint="eastAsia" w:cs="仿宋_GB2312" w:asciiTheme="majorEastAsia" w:hAnsiTheme="majorEastAsia" w:eastAsiaTheme="majorEastAsia"/>
          <w:sz w:val="30"/>
          <w:szCs w:val="30"/>
        </w:rPr>
        <w:t>长沙市岳麓区总工会（以下简称（我会））为财政全额拨款的行政单位（参照公务员管理的事业单位或事业单位），现有编制人数3人，目前实有在职人员7人，离退休人员1人，政府雇员0人，临聘人员0人。主要负责辖区内所辖</w:t>
      </w:r>
      <w:bookmarkStart w:id="0" w:name="_GoBack"/>
      <w:bookmarkEnd w:id="0"/>
      <w:r>
        <w:rPr>
          <w:rFonts w:hint="eastAsia" w:cs="仿宋_GB2312" w:asciiTheme="majorEastAsia" w:hAnsiTheme="majorEastAsia" w:eastAsiaTheme="majorEastAsia"/>
          <w:sz w:val="30"/>
          <w:szCs w:val="30"/>
        </w:rPr>
        <w:t>17个街道、建筑行业工会联合会及下属机关企事业单位3246家工会的管理工作。围绕区委工作大局，结合我区实际，指导全区工会工作。依照法律和章程，组织和指导全区各级工会履行“维护、建设、参与、教育”等社会职能，组织开展工会各项工作。</w:t>
      </w:r>
    </w:p>
    <w:p>
      <w:pPr>
        <w:numPr>
          <w:ilvl w:val="0"/>
          <w:numId w:val="2"/>
        </w:numP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部门（单位）整体支出规模、使用方向和主要内容</w:t>
      </w:r>
    </w:p>
    <w:p>
      <w:pPr>
        <w:ind w:firstLine="600" w:firstLineChars="200"/>
        <w:rPr>
          <w:rFonts w:cs="仿宋_GB2312" w:asciiTheme="majorEastAsia" w:hAnsiTheme="majorEastAsia" w:eastAsiaTheme="majorEastAsia"/>
          <w:sz w:val="30"/>
          <w:szCs w:val="30"/>
        </w:rPr>
      </w:pPr>
      <w:r>
        <w:rPr>
          <w:rFonts w:hint="eastAsia" w:cs="仿宋_GB2312" w:asciiTheme="majorEastAsia" w:hAnsiTheme="majorEastAsia" w:eastAsiaTheme="majorEastAsia"/>
          <w:sz w:val="30"/>
          <w:szCs w:val="30"/>
        </w:rPr>
        <w:t>2021年，我会整体支出为259.7万元，使用方向和主要内容、涉及范围主要包括：人员经费、工会组建、劳动竞争、维权帮扶、社区工会平台建设、技能培训等。</w:t>
      </w:r>
    </w:p>
    <w:p>
      <w:pPr>
        <w:numPr>
          <w:ilvl w:val="0"/>
          <w:numId w:val="1"/>
        </w:numP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部门（单位）整体支出管理及使用情况</w:t>
      </w:r>
    </w:p>
    <w:p>
      <w:pPr>
        <w:numPr>
          <w:ilvl w:val="0"/>
          <w:numId w:val="3"/>
        </w:numP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基本支出</w:t>
      </w:r>
    </w:p>
    <w:p>
      <w:pPr>
        <w:ind w:firstLine="900" w:firstLineChars="300"/>
        <w:rPr>
          <w:rFonts w:cs="仿宋_GB2312" w:asciiTheme="majorEastAsia" w:hAnsiTheme="majorEastAsia" w:eastAsiaTheme="majorEastAsia"/>
          <w:sz w:val="30"/>
          <w:szCs w:val="30"/>
        </w:rPr>
      </w:pPr>
      <w:r>
        <w:rPr>
          <w:rFonts w:hint="eastAsia" w:cs="仿宋_GB2312" w:asciiTheme="majorEastAsia" w:hAnsiTheme="majorEastAsia" w:eastAsiaTheme="majorEastAsia"/>
          <w:sz w:val="30"/>
          <w:szCs w:val="30"/>
        </w:rPr>
        <w:t>我单位基本支出总计224.1万元，其中人员经费支出204.47万元，主要用于基本工资、津贴补贴、奖金、社会保障缴费、伙食补助费、其他工资福利支出、退休费、住房公积金等支出；日常公用经费19.63万元，主要用于办公费、差旅费劳务费、其他商品和服务支出等。我会“三公”经费2020年总共使用0万元， 0.3万元用于培训费，我会严格根据《党政机关</w:t>
      </w:r>
      <w:r>
        <w:rPr>
          <w:rFonts w:hint="eastAsia" w:cs="仿宋_GB2312" w:asciiTheme="majorEastAsia" w:hAnsiTheme="majorEastAsia" w:eastAsiaTheme="majorEastAsia"/>
          <w:sz w:val="30"/>
          <w:szCs w:val="30"/>
          <w:lang w:eastAsia="zh-CN"/>
        </w:rPr>
        <w:t>厉行节约</w:t>
      </w:r>
      <w:r>
        <w:rPr>
          <w:rFonts w:hint="eastAsia" w:cs="仿宋_GB2312" w:asciiTheme="majorEastAsia" w:hAnsiTheme="majorEastAsia" w:eastAsiaTheme="majorEastAsia"/>
          <w:sz w:val="30"/>
          <w:szCs w:val="30"/>
        </w:rPr>
        <w:t>反对浪费调理》对“三公”经费进行管理。</w:t>
      </w:r>
    </w:p>
    <w:p>
      <w:pPr>
        <w:numPr>
          <w:ilvl w:val="0"/>
          <w:numId w:val="3"/>
        </w:numP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专项支出</w:t>
      </w:r>
    </w:p>
    <w:p>
      <w:pP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1、专项资金安排落实、总投入等情况分析</w:t>
      </w:r>
    </w:p>
    <w:p>
      <w:pPr>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我会2021年预算中，我会专项资金预算金额为35.8万元，实际专项支出总共35.6万元.一是进行工资集体协商，使用经费9.6万元。二是夏送清凉费，慰问一线职工，共使用帮扶经费18万元。三是对劳模进行慰问表彰，共使用劳模管理工作经费8万元。</w:t>
      </w:r>
    </w:p>
    <w:p>
      <w:pPr>
        <w:numPr>
          <w:ilvl w:val="0"/>
          <w:numId w:val="4"/>
        </w:numPr>
        <w:rPr>
          <w:rFonts w:asciiTheme="majorEastAsia" w:hAnsiTheme="majorEastAsia" w:eastAsiaTheme="majorEastAsia"/>
          <w:color w:val="000000"/>
          <w:sz w:val="30"/>
          <w:szCs w:val="30"/>
        </w:rPr>
      </w:pPr>
      <w:r>
        <w:rPr>
          <w:rFonts w:hint="eastAsia" w:asciiTheme="majorEastAsia" w:hAnsiTheme="majorEastAsia" w:eastAsiaTheme="majorEastAsia"/>
          <w:b/>
          <w:bCs/>
          <w:color w:val="000000"/>
          <w:sz w:val="30"/>
          <w:szCs w:val="30"/>
        </w:rPr>
        <w:t>专项资金实际使用情况分析</w:t>
      </w:r>
    </w:p>
    <w:p>
      <w:pPr>
        <w:ind w:firstLine="600" w:firstLineChars="200"/>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在实际专项工作开展中，我会的工作经费基本能保证正常工工作的开展。</w:t>
      </w:r>
    </w:p>
    <w:p>
      <w:pPr>
        <w:numPr>
          <w:ilvl w:val="0"/>
          <w:numId w:val="4"/>
        </w:numPr>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专项资金的管理情况分析</w:t>
      </w:r>
    </w:p>
    <w:p>
      <w:pPr>
        <w:ind w:firstLine="640"/>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对于专项资金的管理主要是统筹安排，专项专用。</w:t>
      </w:r>
    </w:p>
    <w:p>
      <w:pPr>
        <w:rPr>
          <w:rFonts w:asciiTheme="majorEastAsia" w:hAnsiTheme="majorEastAsia" w:eastAsiaTheme="majorEastAsia"/>
          <w:b/>
          <w:bCs/>
          <w:color w:val="000000"/>
          <w:sz w:val="30"/>
          <w:szCs w:val="30"/>
        </w:rPr>
      </w:pPr>
      <w:r>
        <w:rPr>
          <w:rFonts w:hint="eastAsia" w:asciiTheme="majorEastAsia" w:hAnsiTheme="majorEastAsia" w:eastAsiaTheme="majorEastAsia"/>
          <w:b/>
          <w:bCs/>
          <w:color w:val="000000"/>
          <w:sz w:val="30"/>
          <w:szCs w:val="30"/>
        </w:rPr>
        <w:t>三、部门（单位）专项组织实施情况</w:t>
      </w:r>
    </w:p>
    <w:p>
      <w:pPr>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1、我会认真贯彻落实上级要求，发挥广大广大职工的主体作用；</w:t>
      </w:r>
    </w:p>
    <w:p>
      <w:pPr>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2、主动作为，勇于担当；</w:t>
      </w:r>
    </w:p>
    <w:p>
      <w:pPr>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3、加强工会自身建设，全面提高工会干部的谋划、设计、组织、指挥、协调、落实的能力，推动工会各方面工作更上一个台阶。</w:t>
      </w:r>
    </w:p>
    <w:p>
      <w:pPr>
        <w:rPr>
          <w:rFonts w:asciiTheme="majorEastAsia" w:hAnsiTheme="majorEastAsia" w:eastAsiaTheme="majorEastAsia"/>
          <w:b/>
          <w:bCs/>
          <w:color w:val="000000"/>
          <w:sz w:val="30"/>
          <w:szCs w:val="30"/>
        </w:rPr>
      </w:pPr>
      <w:r>
        <w:rPr>
          <w:rFonts w:hint="eastAsia" w:asciiTheme="majorEastAsia" w:hAnsiTheme="majorEastAsia" w:eastAsiaTheme="majorEastAsia"/>
          <w:b/>
          <w:bCs/>
          <w:color w:val="000000"/>
          <w:sz w:val="30"/>
          <w:szCs w:val="30"/>
        </w:rPr>
        <w:t>四、部门（单位）整体支出绩效情况</w:t>
      </w:r>
    </w:p>
    <w:p>
      <w:pPr>
        <w:ind w:firstLine="450" w:firstLineChars="150"/>
        <w:rPr>
          <w:rFonts w:cs="仿宋_GB2312" w:asciiTheme="majorEastAsia" w:hAnsiTheme="majorEastAsia" w:eastAsiaTheme="majorEastAsia"/>
          <w:color w:val="000000"/>
          <w:sz w:val="30"/>
          <w:szCs w:val="30"/>
        </w:rPr>
      </w:pPr>
      <w:r>
        <w:rPr>
          <w:rFonts w:hint="eastAsia" w:cs="仿宋_GB2312" w:asciiTheme="majorEastAsia" w:hAnsiTheme="majorEastAsia" w:eastAsiaTheme="majorEastAsia"/>
          <w:color w:val="000000"/>
          <w:sz w:val="30"/>
          <w:szCs w:val="30"/>
        </w:rPr>
        <w:t>1.已完成保障单位机构正常运转、完成日常工作任务而发生的各项支出，包括用于基本工资、津贴补贴等人员经费以及办公费、印刷费、水电费、办公设备购置等日常公用经费，实际支出224.1万元。</w:t>
      </w:r>
    </w:p>
    <w:p>
      <w:pPr>
        <w:rPr>
          <w:rFonts w:asciiTheme="majorEastAsia" w:hAnsiTheme="majorEastAsia" w:eastAsiaTheme="majorEastAsia"/>
          <w:color w:val="000000"/>
          <w:sz w:val="30"/>
          <w:szCs w:val="30"/>
        </w:rPr>
      </w:pPr>
      <w:r>
        <w:rPr>
          <w:rFonts w:hint="eastAsia" w:cs="仿宋_GB2312" w:asciiTheme="majorEastAsia" w:hAnsiTheme="majorEastAsia" w:eastAsiaTheme="majorEastAsia"/>
          <w:color w:val="000000"/>
          <w:sz w:val="30"/>
          <w:szCs w:val="30"/>
        </w:rPr>
        <w:t>2.为完成特定行政工作任务或事业发展目标而发生的项目支出实际金额为35.6万元，</w:t>
      </w:r>
      <w:r>
        <w:rPr>
          <w:rFonts w:hint="eastAsia" w:asciiTheme="majorEastAsia" w:hAnsiTheme="majorEastAsia" w:eastAsiaTheme="majorEastAsia"/>
          <w:color w:val="000000"/>
          <w:sz w:val="30"/>
          <w:szCs w:val="30"/>
        </w:rPr>
        <w:t>一是进行工资集体协商，使用经费9.6万元。二是夏送清凉，慰问一线职工，共使用帮扶经费18万元。三是对劳模进行慰问表彰，共使用劳模管理工作经费8万元。</w:t>
      </w:r>
    </w:p>
    <w:p>
      <w:pPr>
        <w:rPr>
          <w:rFonts w:asciiTheme="minorEastAsia" w:hAnsiTheme="minorEastAsia"/>
          <w:sz w:val="30"/>
          <w:szCs w:val="30"/>
        </w:rPr>
      </w:pPr>
      <w:r>
        <w:rPr>
          <w:rFonts w:hint="eastAsia" w:asciiTheme="majorEastAsia" w:hAnsiTheme="majorEastAsia" w:eastAsiaTheme="majorEastAsia"/>
          <w:color w:val="000000"/>
          <w:sz w:val="30"/>
          <w:szCs w:val="30"/>
        </w:rPr>
        <w:t>3</w:t>
      </w:r>
      <w:r>
        <w:rPr>
          <w:rFonts w:hint="eastAsia" w:asciiTheme="minorEastAsia" w:hAnsiTheme="minorEastAsia"/>
          <w:color w:val="000000"/>
          <w:sz w:val="30"/>
          <w:szCs w:val="30"/>
        </w:rPr>
        <w:t>、</w:t>
      </w:r>
      <w:r>
        <w:rPr>
          <w:rFonts w:hint="eastAsia" w:cs="仿宋_GB2312" w:asciiTheme="minorEastAsia" w:hAnsiTheme="minorEastAsia"/>
          <w:sz w:val="30"/>
          <w:szCs w:val="30"/>
        </w:rPr>
        <w:t>开展了“春送岗位、夏送清凉、金秋助学、冬送温暖”的四送活动。通过与区人社局联合，全年共组织专场招聘会27次，提供免费就业服务2562人次；今年7月，筹措资金20.1万元，开展了“夏送清凉”慰问活动，共慰问了31个基层工会、5627名一线职工；今年10月，根据各街镇行业工会摸底上报的情况，对符合条件的12名困难职工发放了7.4万元“金秋助学”补助金；今年12月，筹措资金25.3万元，对因病致困职工、因公牺牲职工家属等1100余名帮扶对象开展“元旦、春节”送温暖活动。</w:t>
      </w:r>
      <w:r>
        <w:rPr>
          <w:rFonts w:hint="eastAsia" w:asciiTheme="minorEastAsia" w:hAnsiTheme="minorEastAsia"/>
          <w:sz w:val="30"/>
          <w:szCs w:val="30"/>
        </w:rPr>
        <w:t>。</w:t>
      </w:r>
    </w:p>
    <w:p>
      <w:pPr>
        <w:adjustRightInd w:val="0"/>
        <w:snapToGrid w:val="0"/>
        <w:spacing w:line="600" w:lineRule="exact"/>
        <w:ind w:firstLine="600" w:firstLineChars="200"/>
        <w:rPr>
          <w:rFonts w:cs="仿宋_GB2312" w:asciiTheme="minorEastAsia" w:hAnsiTheme="minorEastAsia"/>
          <w:sz w:val="30"/>
          <w:szCs w:val="30"/>
        </w:rPr>
      </w:pPr>
      <w:r>
        <w:rPr>
          <w:rFonts w:hint="eastAsia" w:asciiTheme="minorEastAsia" w:hAnsiTheme="minorEastAsia"/>
          <w:sz w:val="30"/>
          <w:szCs w:val="30"/>
        </w:rPr>
        <w:t>4、</w:t>
      </w:r>
      <w:r>
        <w:rPr>
          <w:rFonts w:hint="eastAsia" w:cs="仿宋_GB2312" w:asciiTheme="minorEastAsia" w:hAnsiTheme="minorEastAsia"/>
          <w:sz w:val="30"/>
          <w:szCs w:val="30"/>
        </w:rPr>
        <w:t>建立困难职工建档立卡动态档案。每季度对建档立卡人员实行一季一走访慰问，根据相关标准全年共慰问困难职工74人次，送去慰问资金8.35万元。</w:t>
      </w:r>
    </w:p>
    <w:p>
      <w:pPr>
        <w:adjustRightInd w:val="0"/>
        <w:snapToGrid w:val="0"/>
        <w:spacing w:line="600" w:lineRule="exact"/>
        <w:ind w:firstLine="602" w:firstLineChars="200"/>
        <w:rPr>
          <w:rFonts w:asciiTheme="minorEastAsia" w:hAnsiTheme="minorEastAsia"/>
          <w:b/>
          <w:bCs/>
          <w:color w:val="000000"/>
          <w:sz w:val="30"/>
          <w:szCs w:val="30"/>
        </w:rPr>
      </w:pPr>
      <w:r>
        <w:rPr>
          <w:rFonts w:hint="eastAsia" w:asciiTheme="minorEastAsia" w:hAnsiTheme="minorEastAsia"/>
          <w:b/>
          <w:bCs/>
          <w:color w:val="000000"/>
          <w:sz w:val="30"/>
          <w:szCs w:val="30"/>
        </w:rPr>
        <w:t>五、存在的主要问题</w:t>
      </w:r>
    </w:p>
    <w:p>
      <w:pPr>
        <w:overflowPunct w:val="0"/>
        <w:autoSpaceDN w:val="0"/>
        <w:adjustRightInd w:val="0"/>
        <w:snapToGrid w:val="0"/>
        <w:spacing w:line="600" w:lineRule="exact"/>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（一）编制有待更严格执行，预算编制与实际支出项目有的仍存在细微差别。</w:t>
      </w:r>
    </w:p>
    <w:p>
      <w:pPr>
        <w:overflowPunct w:val="0"/>
        <w:autoSpaceDN w:val="0"/>
        <w:adjustRightInd w:val="0"/>
        <w:snapToGrid w:val="0"/>
        <w:spacing w:line="600" w:lineRule="exact"/>
        <w:rPr>
          <w:rFonts w:asciiTheme="majorEastAsia" w:hAnsiTheme="majorEastAsia" w:eastAsiaTheme="majorEastAsia"/>
          <w:b/>
          <w:bCs/>
          <w:color w:val="000000"/>
          <w:sz w:val="30"/>
          <w:szCs w:val="30"/>
        </w:rPr>
      </w:pPr>
      <w:r>
        <w:rPr>
          <w:rFonts w:hint="eastAsia" w:asciiTheme="majorEastAsia" w:hAnsiTheme="majorEastAsia" w:eastAsiaTheme="majorEastAsia"/>
          <w:b/>
          <w:bCs/>
          <w:color w:val="000000"/>
          <w:sz w:val="30"/>
          <w:szCs w:val="30"/>
        </w:rPr>
        <w:t>六、改进措预算，施和相关建议</w:t>
      </w:r>
    </w:p>
    <w:p>
      <w:pPr>
        <w:overflowPunct w:val="0"/>
        <w:autoSpaceDN w:val="0"/>
        <w:adjustRightInd w:val="0"/>
        <w:snapToGrid w:val="0"/>
        <w:spacing w:line="600" w:lineRule="exact"/>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（一）按照预算规定的项目和用途严格财务审核，经费支出严格按预算规定项目的财务支出内容进行核算，在预算金额内严格控制费用的支出。</w:t>
      </w:r>
    </w:p>
    <w:p>
      <w:pPr>
        <w:overflowPunct w:val="0"/>
        <w:autoSpaceDN w:val="0"/>
        <w:adjustRightInd w:val="0"/>
        <w:snapToGrid w:val="0"/>
        <w:spacing w:line="600" w:lineRule="exact"/>
        <w:rPr>
          <w:rFonts w:asciiTheme="majorEastAsia" w:hAnsiTheme="majorEastAsia" w:eastAsiaTheme="majorEastAsia"/>
          <w:b/>
          <w:bCs/>
          <w:color w:val="000000"/>
          <w:sz w:val="30"/>
          <w:szCs w:val="30"/>
        </w:rPr>
      </w:pPr>
      <w:r>
        <w:rPr>
          <w:rFonts w:hint="eastAsia" w:asciiTheme="majorEastAsia" w:hAnsiTheme="majorEastAsia" w:eastAsiaTheme="majorEastAsia"/>
          <w:color w:val="000000"/>
          <w:sz w:val="30"/>
          <w:szCs w:val="30"/>
        </w:rPr>
        <w:t>（二）在编制预算过程中，根据上年决算支出及资金使用情况，结合本年度是计划，科学、合理、全面编制预算，同时提高预算管理执行意识，按照预算支出项目，加快预算执行进度，确保预算支出工作全面完成。</w:t>
      </w:r>
    </w:p>
    <w:p>
      <w:pPr>
        <w:overflowPunct w:val="0"/>
        <w:adjustRightInd w:val="0"/>
        <w:snapToGrid w:val="0"/>
        <w:spacing w:line="600" w:lineRule="exact"/>
        <w:ind w:left="420" w:leftChars="200" w:firstLine="4650" w:firstLineChars="1550"/>
        <w:rPr>
          <w:rFonts w:cs="仿宋_GB2312" w:asciiTheme="majorEastAsia" w:hAnsiTheme="majorEastAsia" w:eastAsiaTheme="majorEastAsia"/>
          <w:color w:val="000000"/>
          <w:sz w:val="30"/>
          <w:szCs w:val="30"/>
        </w:rPr>
      </w:pPr>
      <w:r>
        <w:rPr>
          <w:rFonts w:hint="eastAsia" w:cs="仿宋_GB2312" w:asciiTheme="majorEastAsia" w:hAnsiTheme="majorEastAsia" w:eastAsiaTheme="majorEastAsia"/>
          <w:color w:val="000000"/>
          <w:sz w:val="30"/>
          <w:szCs w:val="30"/>
        </w:rPr>
        <w:t>长沙市岳麓区总工会</w:t>
      </w:r>
    </w:p>
    <w:p>
      <w:pPr>
        <w:overflowPunct w:val="0"/>
        <w:adjustRightInd w:val="0"/>
        <w:snapToGrid w:val="0"/>
        <w:spacing w:line="600" w:lineRule="exact"/>
        <w:ind w:left="420" w:leftChars="200"/>
        <w:rPr>
          <w:rFonts w:cs="仿宋_GB2312" w:asciiTheme="majorEastAsia" w:hAnsiTheme="majorEastAsia" w:eastAsiaTheme="majorEastAsia"/>
          <w:color w:val="000000"/>
          <w:sz w:val="30"/>
          <w:szCs w:val="30"/>
        </w:rPr>
      </w:pPr>
      <w:r>
        <w:rPr>
          <w:rFonts w:hint="eastAsia" w:cs="仿宋_GB2312" w:asciiTheme="majorEastAsia" w:hAnsiTheme="majorEastAsia" w:eastAsiaTheme="majorEastAsia"/>
          <w:color w:val="000000"/>
          <w:sz w:val="30"/>
          <w:szCs w:val="30"/>
        </w:rPr>
        <w:t xml:space="preserve">                                    </w:t>
      </w:r>
      <w:r>
        <w:rPr>
          <w:rFonts w:cs="仿宋_GB2312" w:asciiTheme="majorEastAsia" w:hAnsiTheme="majorEastAsia" w:eastAsiaTheme="majorEastAsia"/>
          <w:color w:val="000000"/>
          <w:sz w:val="30"/>
          <w:szCs w:val="30"/>
        </w:rPr>
        <w:t>202</w:t>
      </w:r>
      <w:r>
        <w:rPr>
          <w:rFonts w:hint="eastAsia" w:cs="仿宋_GB2312" w:asciiTheme="majorEastAsia" w:hAnsiTheme="majorEastAsia" w:eastAsiaTheme="majorEastAsia"/>
          <w:color w:val="000000"/>
          <w:sz w:val="30"/>
          <w:szCs w:val="30"/>
        </w:rPr>
        <w:t>2</w:t>
      </w:r>
      <w:r>
        <w:rPr>
          <w:rFonts w:cs="仿宋_GB2312" w:asciiTheme="majorEastAsia" w:hAnsiTheme="majorEastAsia" w:eastAsiaTheme="majorEastAsia"/>
          <w:color w:val="000000"/>
          <w:sz w:val="30"/>
          <w:szCs w:val="30"/>
        </w:rPr>
        <w:t>/</w:t>
      </w:r>
      <w:r>
        <w:rPr>
          <w:rFonts w:hint="eastAsia" w:cs="仿宋_GB2312" w:asciiTheme="majorEastAsia" w:hAnsiTheme="majorEastAsia" w:eastAsiaTheme="majorEastAsia"/>
          <w:color w:val="000000"/>
          <w:sz w:val="30"/>
          <w:szCs w:val="30"/>
        </w:rPr>
        <w:t>2</w:t>
      </w:r>
      <w:r>
        <w:rPr>
          <w:rFonts w:cs="仿宋_GB2312" w:asciiTheme="majorEastAsia" w:hAnsiTheme="majorEastAsia" w:eastAsiaTheme="majorEastAsia"/>
          <w:color w:val="000000"/>
          <w:sz w:val="30"/>
          <w:szCs w:val="30"/>
        </w:rPr>
        <w:t>/</w:t>
      </w:r>
      <w:r>
        <w:rPr>
          <w:rFonts w:hint="eastAsia" w:cs="仿宋_GB2312" w:asciiTheme="majorEastAsia" w:hAnsiTheme="majorEastAsia" w:eastAsiaTheme="majorEastAsia"/>
          <w:color w:val="000000"/>
          <w:sz w:val="30"/>
          <w:szCs w:val="30"/>
        </w:rPr>
        <w:t>24</w:t>
      </w:r>
    </w:p>
    <w:p>
      <w:pPr>
        <w:overflowPunct w:val="0"/>
        <w:adjustRightInd w:val="0"/>
        <w:snapToGrid w:val="0"/>
        <w:spacing w:line="580" w:lineRule="exact"/>
        <w:ind w:firstLine="640" w:firstLineChars="200"/>
        <w:rPr>
          <w:rFonts w:cs="仿宋_GB2312" w:asciiTheme="minorEastAsia" w:hAnsiTheme="minorEastAsia"/>
          <w:color w:val="000000"/>
          <w:sz w:val="32"/>
          <w:szCs w:val="32"/>
        </w:rPr>
      </w:pPr>
    </w:p>
    <w:p>
      <w:pPr>
        <w:rPr>
          <w:rFonts w:asciiTheme="minorEastAsia" w:hAnsiTheme="minorEastAsia"/>
          <w:color w:val="000000"/>
          <w:sz w:val="32"/>
          <w:szCs w:val="32"/>
        </w:rPr>
      </w:pPr>
    </w:p>
    <w:p>
      <w:pPr>
        <w:ind w:firstLine="640" w:firstLineChars="200"/>
        <w:rPr>
          <w:rFonts w:cs="仿宋_GB2312" w:asciiTheme="minorEastAsia" w:hAnsiTheme="minorEastAsia"/>
          <w:sz w:val="32"/>
          <w:szCs w:val="32"/>
        </w:rPr>
      </w:pPr>
    </w:p>
    <w:p>
      <w:pPr>
        <w:ind w:firstLine="723" w:firstLineChars="200"/>
        <w:rPr>
          <w:rFonts w:asciiTheme="minorEastAsia" w:hAnsiTheme="minorEastAsia"/>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A7F66"/>
    <w:multiLevelType w:val="singleLevel"/>
    <w:tmpl w:val="B9DA7F66"/>
    <w:lvl w:ilvl="0" w:tentative="0">
      <w:start w:val="1"/>
      <w:numFmt w:val="chineseCounting"/>
      <w:suff w:val="nothing"/>
      <w:lvlText w:val="%1、"/>
      <w:lvlJc w:val="left"/>
      <w:rPr>
        <w:rFonts w:hint="eastAsia"/>
      </w:rPr>
    </w:lvl>
  </w:abstractNum>
  <w:abstractNum w:abstractNumId="1">
    <w:nsid w:val="26B5AEB9"/>
    <w:multiLevelType w:val="singleLevel"/>
    <w:tmpl w:val="26B5AEB9"/>
    <w:lvl w:ilvl="0" w:tentative="0">
      <w:start w:val="2"/>
      <w:numFmt w:val="decimal"/>
      <w:suff w:val="nothing"/>
      <w:lvlText w:val="%1、"/>
      <w:lvlJc w:val="left"/>
    </w:lvl>
  </w:abstractNum>
  <w:abstractNum w:abstractNumId="2">
    <w:nsid w:val="2F161C30"/>
    <w:multiLevelType w:val="singleLevel"/>
    <w:tmpl w:val="2F161C30"/>
    <w:lvl w:ilvl="0" w:tentative="0">
      <w:start w:val="2"/>
      <w:numFmt w:val="chineseCounting"/>
      <w:suff w:val="nothing"/>
      <w:lvlText w:val="（%1）"/>
      <w:lvlJc w:val="left"/>
      <w:rPr>
        <w:rFonts w:hint="eastAsia"/>
      </w:rPr>
    </w:lvl>
  </w:abstractNum>
  <w:abstractNum w:abstractNumId="3">
    <w:nsid w:val="76839DEA"/>
    <w:multiLevelType w:val="singleLevel"/>
    <w:tmpl w:val="76839DEA"/>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jN2FjYjg2Y2EwOWExYzU4YTYwNTY5NzNiZTcwYmUifQ=="/>
  </w:docVars>
  <w:rsids>
    <w:rsidRoot w:val="00740D48"/>
    <w:rsid w:val="00003B18"/>
    <w:rsid w:val="000A50EF"/>
    <w:rsid w:val="000F7030"/>
    <w:rsid w:val="00243BE3"/>
    <w:rsid w:val="00326888"/>
    <w:rsid w:val="003D58EF"/>
    <w:rsid w:val="00404CB4"/>
    <w:rsid w:val="0041324D"/>
    <w:rsid w:val="00512D67"/>
    <w:rsid w:val="00527488"/>
    <w:rsid w:val="0065339C"/>
    <w:rsid w:val="006C043E"/>
    <w:rsid w:val="007162A3"/>
    <w:rsid w:val="0071698A"/>
    <w:rsid w:val="00740D48"/>
    <w:rsid w:val="007C0E60"/>
    <w:rsid w:val="007F2CBF"/>
    <w:rsid w:val="009555EF"/>
    <w:rsid w:val="00A53F05"/>
    <w:rsid w:val="00AD4DD3"/>
    <w:rsid w:val="00BD35C1"/>
    <w:rsid w:val="00D35B96"/>
    <w:rsid w:val="00D90BF1"/>
    <w:rsid w:val="00FD0FF4"/>
    <w:rsid w:val="054F1143"/>
    <w:rsid w:val="06241F3B"/>
    <w:rsid w:val="0A4224ED"/>
    <w:rsid w:val="41363D2D"/>
    <w:rsid w:val="5033613A"/>
    <w:rsid w:val="568F7284"/>
    <w:rsid w:val="60F745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1581</Words>
  <Characters>1671</Characters>
  <Lines>1</Lines>
  <Paragraphs>3</Paragraphs>
  <TotalTime>8</TotalTime>
  <ScaleCrop>false</ScaleCrop>
  <LinksUpToDate>false</LinksUpToDate>
  <CharactersWithSpaces>1708</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cp:lastModifiedBy>
  <cp:lastPrinted>2020-03-30T05:53:00Z</cp:lastPrinted>
  <dcterms:modified xsi:type="dcterms:W3CDTF">2022-12-12T07:49:17Z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115C68F6ADF6428D8633081977665CC1</vt:lpwstr>
  </property>
</Properties>
</file>