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方正小标宋简体"/>
          <w:sz w:val="42"/>
          <w:szCs w:val="42"/>
        </w:rPr>
      </w:pPr>
      <w:bookmarkStart w:id="0" w:name="_GoBack"/>
      <w:bookmarkEnd w:id="0"/>
    </w:p>
    <w:p>
      <w:pPr>
        <w:spacing w:line="800" w:lineRule="exact"/>
        <w:jc w:val="center"/>
        <w:rPr>
          <w:rFonts w:ascii="宋体" w:hAnsi="宋体" w:eastAsia="方正小标宋简体"/>
          <w:sz w:val="46"/>
          <w:szCs w:val="46"/>
        </w:rPr>
      </w:pPr>
      <w:r>
        <w:rPr>
          <w:rFonts w:hint="eastAsia" w:ascii="宋体" w:hAnsi="宋体" w:eastAsia="方正小标宋简体"/>
          <w:sz w:val="46"/>
          <w:szCs w:val="46"/>
        </w:rPr>
        <w:t>岳麓区</w:t>
      </w:r>
      <w:r>
        <w:rPr>
          <w:rFonts w:ascii="宋体" w:hAnsi="宋体" w:eastAsia="方正小标宋简体"/>
          <w:sz w:val="46"/>
          <w:szCs w:val="46"/>
        </w:rPr>
        <w:t>20</w:t>
      </w:r>
      <w:r>
        <w:rPr>
          <w:rFonts w:ascii="宋体" w:hAnsi="宋体" w:eastAsia="方正小标宋简体"/>
          <w:sz w:val="46"/>
          <w:szCs w:val="46"/>
          <w:u w:val="single"/>
        </w:rPr>
        <w:t xml:space="preserve"> 19 </w:t>
      </w:r>
      <w:r>
        <w:rPr>
          <w:rFonts w:hint="eastAsia" w:ascii="宋体" w:hAnsi="宋体" w:eastAsia="方正小标宋简体"/>
          <w:sz w:val="46"/>
          <w:szCs w:val="46"/>
        </w:rPr>
        <w:t>年度部门（单位）整体支出</w:t>
      </w:r>
    </w:p>
    <w:p>
      <w:pPr>
        <w:spacing w:line="800" w:lineRule="exact"/>
        <w:jc w:val="center"/>
        <w:rPr>
          <w:rFonts w:ascii="宋体" w:hAnsi="宋体" w:eastAsia="方正小标宋简体"/>
          <w:sz w:val="46"/>
          <w:szCs w:val="46"/>
        </w:rPr>
      </w:pPr>
      <w:r>
        <w:rPr>
          <w:rFonts w:hint="eastAsia" w:ascii="宋体" w:hAnsi="宋体" w:eastAsia="方正小标宋简体"/>
          <w:sz w:val="46"/>
          <w:szCs w:val="46"/>
        </w:rPr>
        <w:t>绩效评价自评报告</w:t>
      </w:r>
    </w:p>
    <w:p>
      <w:pPr>
        <w:rPr>
          <w:rFonts w:ascii="宋体" w:hAnsi="宋体" w:eastAsia="仿宋_GB2312"/>
          <w:sz w:val="32"/>
        </w:rPr>
      </w:pPr>
    </w:p>
    <w:p>
      <w:pPr>
        <w:rPr>
          <w:rFonts w:ascii="宋体" w:hAnsi="宋体" w:eastAsia="仿宋_GB2312"/>
          <w:sz w:val="32"/>
        </w:rPr>
      </w:pPr>
    </w:p>
    <w:p>
      <w:pPr>
        <w:rPr>
          <w:rFonts w:ascii="宋体" w:hAnsi="宋体" w:eastAsia="仿宋_GB2312"/>
          <w:sz w:val="32"/>
        </w:rPr>
      </w:pPr>
    </w:p>
    <w:p>
      <w:pPr>
        <w:spacing w:beforeLines="50" w:line="348" w:lineRule="auto"/>
        <w:ind w:firstLine="480" w:firstLineChars="150"/>
        <w:rPr>
          <w:rFonts w:ascii="宋体" w:hAnsi="宋体" w:eastAsia="仿宋_GB2312"/>
          <w:sz w:val="32"/>
          <w:u w:val="single"/>
        </w:rPr>
      </w:pPr>
      <w:r>
        <w:rPr>
          <w:rFonts w:hint="eastAsia" w:ascii="宋体" w:hAnsi="宋体" w:eastAsia="仿宋_GB2312"/>
          <w:sz w:val="32"/>
        </w:rPr>
        <w:t>部门</w:t>
      </w:r>
      <w:r>
        <w:rPr>
          <w:rFonts w:ascii="宋体" w:hAnsi="宋体" w:eastAsia="仿宋_GB2312"/>
          <w:sz w:val="32"/>
        </w:rPr>
        <w:t>(</w:t>
      </w:r>
      <w:r>
        <w:rPr>
          <w:rFonts w:hint="eastAsia" w:ascii="宋体" w:hAnsi="宋体" w:eastAsia="仿宋_GB2312"/>
          <w:sz w:val="32"/>
        </w:rPr>
        <w:t>单位</w:t>
      </w:r>
      <w:r>
        <w:rPr>
          <w:rFonts w:ascii="宋体" w:hAnsi="宋体" w:eastAsia="仿宋_GB2312"/>
          <w:sz w:val="32"/>
        </w:rPr>
        <w:t>)</w:t>
      </w:r>
      <w:r>
        <w:rPr>
          <w:rFonts w:hint="eastAsia" w:ascii="宋体" w:hAnsi="宋体" w:eastAsia="仿宋_GB2312"/>
          <w:sz w:val="32"/>
        </w:rPr>
        <w:t>名称：</w:t>
      </w:r>
      <w:r>
        <w:rPr>
          <w:rFonts w:hint="eastAsia" w:ascii="宋体" w:hAnsi="宋体" w:eastAsia="仿宋_GB2312"/>
          <w:sz w:val="32"/>
          <w:u w:val="single"/>
        </w:rPr>
        <w:t>长沙市岳麓区人民代表大会常</w:t>
      </w:r>
      <w:r>
        <w:rPr>
          <w:rFonts w:hint="eastAsia" w:ascii="宋体" w:hAnsi="宋体" w:eastAsia="仿宋_GB2312"/>
          <w:sz w:val="32"/>
          <w:u w:val="single"/>
          <w:lang w:val="en-US" w:eastAsia="zh-CN"/>
        </w:rPr>
        <w:t>务</w:t>
      </w:r>
      <w:r>
        <w:rPr>
          <w:rFonts w:hint="eastAsia" w:ascii="宋体" w:hAnsi="宋体" w:eastAsia="仿宋_GB2312"/>
          <w:sz w:val="32"/>
          <w:u w:val="single"/>
        </w:rPr>
        <w:t>委员会</w:t>
      </w:r>
      <w:r>
        <w:rPr>
          <w:rFonts w:ascii="宋体" w:hAnsi="宋体" w:eastAsia="仿宋_GB2312"/>
          <w:sz w:val="32"/>
          <w:u w:val="single"/>
        </w:rPr>
        <w:t xml:space="preserve">                                    </w:t>
      </w:r>
    </w:p>
    <w:p>
      <w:pPr>
        <w:spacing w:beforeLines="50" w:line="348" w:lineRule="auto"/>
        <w:ind w:firstLine="480" w:firstLineChars="150"/>
        <w:rPr>
          <w:rFonts w:ascii="宋体" w:hAnsi="宋体" w:eastAsia="仿宋_GB2312"/>
          <w:sz w:val="32"/>
        </w:rPr>
      </w:pPr>
      <w:r>
        <w:rPr>
          <w:rFonts w:hint="eastAsia" w:ascii="宋体" w:hAnsi="宋体" w:eastAsia="仿宋_GB2312"/>
          <w:sz w:val="32"/>
        </w:rPr>
        <w:t>预算编码：</w:t>
      </w:r>
      <w:r>
        <w:rPr>
          <w:rFonts w:ascii="宋体" w:hAnsi="宋体" w:eastAsia="仿宋_GB2312"/>
          <w:sz w:val="32"/>
          <w:u w:val="single"/>
        </w:rPr>
        <w:t xml:space="preserve">             103001</w:t>
      </w:r>
      <w:r>
        <w:rPr>
          <w:rFonts w:ascii="宋体" w:hAnsi="宋体" w:eastAsia="宋体"/>
          <w:sz w:val="32"/>
          <w:u w:val="single"/>
        </w:rPr>
        <w:t>_____________________</w:t>
      </w:r>
      <w:r>
        <w:rPr>
          <w:rFonts w:ascii="宋体" w:hAnsi="宋体" w:eastAsia="仿宋_GB2312"/>
          <w:sz w:val="32"/>
          <w:u w:val="single"/>
        </w:rPr>
        <w:t xml:space="preserve">                                       </w:t>
      </w:r>
    </w:p>
    <w:p>
      <w:pPr>
        <w:spacing w:beforeLines="50" w:line="348" w:lineRule="auto"/>
        <w:ind w:firstLine="480" w:firstLineChars="150"/>
        <w:rPr>
          <w:rFonts w:ascii="宋体" w:hAnsi="宋体" w:eastAsia="仿宋_GB2312"/>
          <w:sz w:val="32"/>
        </w:rPr>
      </w:pPr>
      <w:r>
        <w:rPr>
          <w:rFonts w:hint="eastAsia" w:ascii="宋体" w:hAnsi="宋体" w:eastAsia="仿宋_GB2312"/>
          <w:sz w:val="32"/>
        </w:rPr>
        <w:t>评价方式：</w:t>
      </w:r>
      <w:r>
        <w:rPr>
          <w:rFonts w:hint="eastAsia" w:ascii="宋体" w:hAnsi="宋体" w:eastAsia="仿宋_GB2312"/>
          <w:sz w:val="28"/>
          <w:szCs w:val="28"/>
        </w:rPr>
        <w:t>部门（单位）绩效自评</w:t>
      </w:r>
    </w:p>
    <w:p>
      <w:pPr>
        <w:spacing w:beforeLines="50" w:line="348" w:lineRule="auto"/>
        <w:ind w:firstLine="480" w:firstLineChars="150"/>
        <w:rPr>
          <w:rFonts w:ascii="宋体" w:hAnsi="宋体" w:eastAsia="仿宋_GB2312"/>
          <w:sz w:val="32"/>
        </w:rPr>
      </w:pPr>
      <w:r>
        <w:rPr>
          <w:rFonts w:hint="eastAsia" w:ascii="宋体" w:hAnsi="宋体" w:eastAsia="仿宋_GB2312"/>
          <w:sz w:val="32"/>
          <w:szCs w:val="32"/>
        </w:rPr>
        <w:t>评价机构：</w:t>
      </w:r>
      <w:r>
        <w:rPr>
          <w:rFonts w:hint="eastAsia" w:ascii="宋体" w:hAnsi="宋体" w:eastAsia="仿宋_GB2312"/>
          <w:sz w:val="28"/>
          <w:szCs w:val="28"/>
        </w:rPr>
        <w:t>部门（单位）评价组</w:t>
      </w:r>
      <w:r>
        <w:rPr>
          <w:rFonts w:ascii="宋体" w:hAnsi="宋体" w:eastAsia="仿宋_GB2312"/>
          <w:sz w:val="28"/>
          <w:szCs w:val="28"/>
        </w:rPr>
        <w:t xml:space="preserve">   </w:t>
      </w:r>
    </w:p>
    <w:p>
      <w:pPr>
        <w:spacing w:line="600" w:lineRule="exact"/>
        <w:ind w:firstLine="480" w:firstLineChars="150"/>
        <w:rPr>
          <w:rFonts w:ascii="宋体" w:hAnsi="宋体" w:eastAsia="仿宋_GB2312"/>
          <w:sz w:val="32"/>
        </w:rPr>
      </w:pPr>
    </w:p>
    <w:p>
      <w:pPr>
        <w:spacing w:line="600" w:lineRule="exact"/>
        <w:ind w:firstLine="480" w:firstLineChars="150"/>
        <w:rPr>
          <w:rFonts w:ascii="宋体" w:hAnsi="宋体" w:eastAsia="仿宋_GB2312"/>
          <w:sz w:val="32"/>
        </w:rPr>
      </w:pPr>
      <w:r>
        <w:rPr>
          <w:rFonts w:hint="eastAsia" w:ascii="宋体" w:hAnsi="宋体" w:eastAsia="仿宋_GB2312"/>
          <w:sz w:val="32"/>
        </w:rPr>
        <w:t>单位负责人（签章）：</w:t>
      </w:r>
    </w:p>
    <w:p>
      <w:pPr>
        <w:spacing w:line="600" w:lineRule="exact"/>
        <w:ind w:firstLine="480" w:firstLineChars="150"/>
        <w:rPr>
          <w:rFonts w:ascii="宋体" w:hAnsi="宋体" w:eastAsia="仿宋_GB2312"/>
          <w:sz w:val="32"/>
        </w:rPr>
      </w:pPr>
      <w:r>
        <w:rPr>
          <w:rFonts w:hint="eastAsia" w:ascii="宋体" w:hAnsi="宋体" w:eastAsia="仿宋_GB2312"/>
          <w:sz w:val="32"/>
        </w:rPr>
        <w:t>项目负责人（签章）：</w:t>
      </w:r>
    </w:p>
    <w:p>
      <w:pPr>
        <w:spacing w:line="600" w:lineRule="exact"/>
        <w:ind w:firstLine="480" w:firstLineChars="150"/>
        <w:rPr>
          <w:rFonts w:ascii="宋体" w:hAnsi="宋体" w:eastAsia="仿宋_GB2312"/>
          <w:sz w:val="32"/>
        </w:rPr>
      </w:pPr>
      <w:r>
        <w:rPr>
          <w:rFonts w:hint="eastAsia" w:ascii="宋体" w:hAnsi="宋体" w:eastAsia="仿宋_GB2312"/>
          <w:sz w:val="32"/>
        </w:rPr>
        <w:t>报告填报人（签章）：</w:t>
      </w:r>
    </w:p>
    <w:p>
      <w:pPr>
        <w:autoSpaceDN w:val="0"/>
        <w:jc w:val="center"/>
        <w:textAlignment w:val="center"/>
        <w:rPr>
          <w:rFonts w:ascii="宋体" w:hAnsi="宋体" w:eastAsia="仿宋_GB2312"/>
          <w:sz w:val="32"/>
        </w:rPr>
      </w:pPr>
      <w:r>
        <w:rPr>
          <w:rFonts w:ascii="宋体" w:hAnsi="宋体" w:eastAsia="仿宋_GB2312"/>
          <w:sz w:val="32"/>
        </w:rPr>
        <w:t xml:space="preserve">   </w:t>
      </w:r>
    </w:p>
    <w:p>
      <w:pPr>
        <w:autoSpaceDN w:val="0"/>
        <w:jc w:val="center"/>
        <w:textAlignment w:val="center"/>
        <w:rPr>
          <w:rFonts w:ascii="宋体" w:hAnsi="宋体" w:eastAsia="仿宋_GB2312"/>
          <w:sz w:val="32"/>
        </w:rPr>
      </w:pPr>
      <w:r>
        <w:rPr>
          <w:rFonts w:ascii="宋体" w:hAnsi="宋体" w:eastAsia="仿宋_GB2312"/>
          <w:sz w:val="32"/>
        </w:rPr>
        <w:t xml:space="preserve">               </w:t>
      </w:r>
    </w:p>
    <w:p>
      <w:pPr>
        <w:autoSpaceDN w:val="0"/>
        <w:jc w:val="right"/>
        <w:textAlignment w:val="center"/>
        <w:rPr>
          <w:rFonts w:ascii="宋体" w:hAnsi="宋体" w:eastAsia="仿宋_GB2312"/>
          <w:sz w:val="32"/>
          <w:szCs w:val="32"/>
        </w:rPr>
      </w:pPr>
      <w:r>
        <w:rPr>
          <w:rFonts w:ascii="宋体" w:hAnsi="宋体" w:eastAsia="仿宋_GB2312"/>
          <w:sz w:val="32"/>
        </w:rPr>
        <w:t xml:space="preserve">         </w:t>
      </w:r>
      <w:r>
        <w:rPr>
          <w:rFonts w:hint="eastAsia" w:ascii="宋体" w:hAnsi="宋体" w:eastAsia="仿宋_GB2312"/>
          <w:sz w:val="32"/>
        </w:rPr>
        <w:t>长沙市岳麓区人民代表大会常</w:t>
      </w:r>
      <w:r>
        <w:rPr>
          <w:rFonts w:hint="eastAsia" w:ascii="宋体" w:hAnsi="宋体" w:eastAsia="仿宋_GB2312"/>
          <w:sz w:val="32"/>
          <w:lang w:val="en-US" w:eastAsia="zh-CN"/>
        </w:rPr>
        <w:t>务</w:t>
      </w:r>
      <w:r>
        <w:rPr>
          <w:rFonts w:hint="eastAsia" w:ascii="宋体" w:hAnsi="宋体" w:eastAsia="仿宋_GB2312"/>
          <w:sz w:val="32"/>
        </w:rPr>
        <w:t>委员会</w:t>
      </w:r>
    </w:p>
    <w:p>
      <w:pPr>
        <w:autoSpaceDN w:val="0"/>
        <w:jc w:val="right"/>
        <w:textAlignment w:val="center"/>
        <w:rPr>
          <w:rFonts w:ascii="宋体" w:hAnsi="宋体" w:eastAsia="仿宋_GB2312"/>
          <w:sz w:val="32"/>
        </w:rPr>
      </w:pPr>
      <w:r>
        <w:rPr>
          <w:rFonts w:hint="eastAsia" w:ascii="宋体" w:hAnsi="宋体" w:eastAsia="仿宋_GB2312"/>
          <w:sz w:val="32"/>
        </w:rPr>
        <w:t>报告日期：</w:t>
      </w:r>
      <w:r>
        <w:rPr>
          <w:rFonts w:ascii="宋体" w:hAnsi="宋体" w:eastAsia="仿宋_GB2312"/>
          <w:sz w:val="32"/>
        </w:rPr>
        <w:t>2020</w:t>
      </w:r>
      <w:r>
        <w:rPr>
          <w:rFonts w:hint="eastAsia" w:ascii="宋体" w:hAnsi="宋体" w:eastAsia="仿宋_GB2312"/>
          <w:sz w:val="32"/>
        </w:rPr>
        <w:t>年</w:t>
      </w:r>
      <w:r>
        <w:rPr>
          <w:rFonts w:ascii="宋体" w:hAnsi="宋体" w:eastAsia="仿宋_GB2312"/>
          <w:sz w:val="32"/>
        </w:rPr>
        <w:t xml:space="preserve"> 3</w:t>
      </w:r>
      <w:r>
        <w:rPr>
          <w:rFonts w:hint="eastAsia" w:ascii="宋体" w:hAnsi="宋体" w:eastAsia="仿宋_GB2312"/>
          <w:sz w:val="32"/>
        </w:rPr>
        <w:t>月</w:t>
      </w:r>
      <w:r>
        <w:rPr>
          <w:rFonts w:ascii="宋体" w:hAnsi="宋体" w:eastAsia="仿宋_GB2312"/>
          <w:sz w:val="32"/>
        </w:rPr>
        <w:t xml:space="preserve"> 25 </w:t>
      </w:r>
      <w:r>
        <w:rPr>
          <w:rFonts w:hint="eastAsia" w:ascii="宋体" w:hAnsi="宋体" w:eastAsia="仿宋_GB2312"/>
          <w:sz w:val="32"/>
        </w:rPr>
        <w:t>日</w:t>
      </w:r>
      <w:r>
        <w:rPr>
          <w:rFonts w:ascii="宋体" w:hAnsi="宋体" w:eastAsia="仿宋_GB2312"/>
          <w:sz w:val="32"/>
        </w:rPr>
        <w:t xml:space="preserve">                   </w:t>
      </w: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autoSpaceDN w:val="0"/>
        <w:jc w:val="center"/>
        <w:textAlignment w:val="center"/>
        <w:rPr>
          <w:rFonts w:ascii="宋体" w:hAnsi="宋体" w:eastAsia="仿宋_GB2312"/>
          <w:sz w:val="32"/>
        </w:rPr>
      </w:pPr>
    </w:p>
    <w:p>
      <w:pPr>
        <w:rPr>
          <w:rFonts w:ascii="方正小标宋_GBK" w:hAnsi="宋体" w:eastAsia="方正小标宋_GBK" w:cs="黑体"/>
          <w:sz w:val="44"/>
          <w:szCs w:val="44"/>
        </w:rPr>
      </w:pPr>
    </w:p>
    <w:p>
      <w:pPr>
        <w:rPr>
          <w:rFonts w:ascii="方正小标宋_GBK" w:hAnsi="宋体" w:eastAsia="方正小标宋_GBK" w:cs="黑体"/>
          <w:sz w:val="44"/>
          <w:szCs w:val="44"/>
        </w:rPr>
      </w:pPr>
    </w:p>
    <w:p>
      <w:pPr>
        <w:jc w:val="center"/>
        <w:rPr>
          <w:rFonts w:ascii="方正小标宋_GBK" w:hAnsi="宋体" w:eastAsia="方正小标宋_GBK" w:cs="黑体"/>
          <w:sz w:val="44"/>
          <w:szCs w:val="44"/>
        </w:rPr>
      </w:pPr>
      <w:r>
        <w:rPr>
          <w:rFonts w:hint="eastAsia" w:ascii="方正小标宋_GBK" w:hAnsi="宋体" w:eastAsia="方正小标宋_GBK" w:cs="黑体"/>
          <w:sz w:val="44"/>
          <w:szCs w:val="44"/>
        </w:rPr>
        <w:t>部门整体支出绩效评价报告</w:t>
      </w:r>
    </w:p>
    <w:p>
      <w:pPr>
        <w:spacing w:line="600" w:lineRule="exact"/>
        <w:ind w:firstLine="640" w:firstLineChars="200"/>
        <w:rPr>
          <w:rFonts w:ascii="宋体" w:hAnsi="宋体" w:eastAsia="仿宋_GB2312"/>
          <w:b/>
          <w:sz w:val="32"/>
          <w:szCs w:val="32"/>
        </w:rPr>
      </w:pPr>
      <w:r>
        <w:rPr>
          <w:rFonts w:hint="eastAsia" w:ascii="黑体" w:hAnsi="黑体" w:eastAsia="黑体"/>
          <w:sz w:val="32"/>
          <w:szCs w:val="32"/>
        </w:rPr>
        <w:t>一、部门（单位）概况</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（一）部门（单位）基本情况</w:t>
      </w:r>
    </w:p>
    <w:p>
      <w:pPr>
        <w:spacing w:line="600" w:lineRule="exact"/>
        <w:ind w:firstLine="640" w:firstLineChars="200"/>
        <w:outlineLvl w:val="0"/>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．主要职能。</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w:t>
      </w:r>
      <w:r>
        <w:rPr>
          <w:rFonts w:ascii="宋体" w:hAnsi="宋体" w:eastAsia="仿宋_GB2312"/>
          <w:sz w:val="32"/>
          <w:szCs w:val="32"/>
        </w:rPr>
        <w:t>1</w:t>
      </w:r>
      <w:r>
        <w:rPr>
          <w:rFonts w:hint="eastAsia" w:ascii="宋体" w:hAnsi="宋体" w:eastAsia="仿宋_GB2312"/>
          <w:sz w:val="32"/>
          <w:szCs w:val="32"/>
        </w:rPr>
        <w:t>）在本行政区域内，保证宪法、法律、行政法规和上级人民代表大会及其常务委员会决议的遵守和执行；</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w:t>
      </w:r>
      <w:r>
        <w:rPr>
          <w:rFonts w:ascii="宋体" w:hAnsi="宋体" w:eastAsia="仿宋_GB2312"/>
          <w:sz w:val="32"/>
          <w:szCs w:val="32"/>
        </w:rPr>
        <w:t>2</w:t>
      </w:r>
      <w:r>
        <w:rPr>
          <w:rFonts w:hint="eastAsia" w:ascii="宋体" w:hAnsi="宋体" w:eastAsia="仿宋_GB2312"/>
          <w:sz w:val="32"/>
          <w:szCs w:val="32"/>
        </w:rPr>
        <w:t>）领导或主持区人民代表大会代表的选举；</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w:t>
      </w:r>
      <w:r>
        <w:rPr>
          <w:rFonts w:ascii="宋体" w:hAnsi="宋体" w:eastAsia="仿宋_GB2312"/>
          <w:sz w:val="32"/>
          <w:szCs w:val="32"/>
        </w:rPr>
        <w:t>3</w:t>
      </w:r>
      <w:r>
        <w:rPr>
          <w:rFonts w:hint="eastAsia" w:ascii="宋体" w:hAnsi="宋体" w:eastAsia="仿宋_GB2312"/>
          <w:sz w:val="32"/>
          <w:szCs w:val="32"/>
        </w:rPr>
        <w:t>）召集区人民代表大会会议；</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w:t>
      </w:r>
      <w:r>
        <w:rPr>
          <w:rFonts w:ascii="宋体" w:hAnsi="宋体" w:eastAsia="仿宋_GB2312"/>
          <w:sz w:val="32"/>
          <w:szCs w:val="32"/>
        </w:rPr>
        <w:t>4</w:t>
      </w:r>
      <w:r>
        <w:rPr>
          <w:rFonts w:hint="eastAsia" w:ascii="宋体" w:hAnsi="宋体" w:eastAsia="仿宋_GB2312"/>
          <w:sz w:val="32"/>
          <w:szCs w:val="32"/>
        </w:rPr>
        <w:t>）讨论本行政区域内的政治、经济、教育、科学、文化、卫生、环境和资源保护、民政、民族等工作的重大事项；</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w:t>
      </w:r>
      <w:r>
        <w:rPr>
          <w:rFonts w:ascii="宋体" w:hAnsi="宋体" w:eastAsia="仿宋_GB2312"/>
          <w:sz w:val="32"/>
          <w:szCs w:val="32"/>
        </w:rPr>
        <w:t>5</w:t>
      </w:r>
      <w:r>
        <w:rPr>
          <w:rFonts w:hint="eastAsia" w:ascii="宋体" w:hAnsi="宋体" w:eastAsia="仿宋_GB2312"/>
          <w:sz w:val="32"/>
          <w:szCs w:val="32"/>
        </w:rPr>
        <w:t>）监督区人民政府、区人民法院和区人民检</w:t>
      </w:r>
      <w:r>
        <w:rPr>
          <w:rFonts w:hint="eastAsia" w:ascii="宋体" w:hAnsi="宋体" w:eastAsia="仿宋_GB2312"/>
          <w:sz w:val="32"/>
          <w:szCs w:val="32"/>
          <w:lang w:val="en-US" w:eastAsia="zh-CN"/>
        </w:rPr>
        <w:t>察</w:t>
      </w:r>
      <w:r>
        <w:rPr>
          <w:rFonts w:hint="eastAsia" w:ascii="宋体" w:hAnsi="宋体" w:eastAsia="仿宋_GB2312"/>
          <w:sz w:val="32"/>
          <w:szCs w:val="32"/>
        </w:rPr>
        <w:t>院的工作，联系区人民代表大会代表、受理人民群众对上级机关和国家工作人员的申诉和意见。</w:t>
      </w:r>
    </w:p>
    <w:p>
      <w:pPr>
        <w:spacing w:line="600" w:lineRule="exact"/>
        <w:ind w:firstLine="640" w:firstLineChars="200"/>
        <w:outlineLvl w:val="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．机构情况</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岳麓区人民代表大会常务委员会机关现有内设机构9个，分别是办公室、选举任免联络工作委员会、民族华侨外事委员会、监察与司法委员会（法制委员会）、财政经济委员会（预算工作委员会）、教育科学文化卫生委员会、环境与资源保护委员会、农业与农村委员会、社会建设委员会，无附属二级机构和事业单位。</w:t>
      </w:r>
      <w:r>
        <w:rPr>
          <w:rFonts w:ascii="宋体" w:hAnsi="宋体" w:eastAsia="仿宋_GB2312"/>
          <w:sz w:val="32"/>
          <w:szCs w:val="32"/>
        </w:rPr>
        <w:t xml:space="preserve"> </w:t>
      </w:r>
    </w:p>
    <w:p>
      <w:pPr>
        <w:spacing w:line="600" w:lineRule="exact"/>
        <w:ind w:firstLine="640" w:firstLineChars="200"/>
        <w:outlineLvl w:val="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．人员情况</w:t>
      </w:r>
    </w:p>
    <w:p>
      <w:pPr>
        <w:spacing w:line="600" w:lineRule="exact"/>
        <w:ind w:firstLine="640" w:firstLineChars="200"/>
        <w:outlineLvl w:val="0"/>
        <w:rPr>
          <w:rFonts w:ascii="宋体" w:hAnsi="宋体" w:eastAsia="仿宋_GB2312"/>
          <w:sz w:val="32"/>
          <w:szCs w:val="32"/>
        </w:rPr>
      </w:pPr>
      <w:r>
        <w:rPr>
          <w:rFonts w:ascii="宋体" w:hAnsi="宋体" w:eastAsia="仿宋_GB2312"/>
          <w:sz w:val="32"/>
          <w:szCs w:val="32"/>
        </w:rPr>
        <w:t>2019</w:t>
      </w:r>
      <w:r>
        <w:rPr>
          <w:rFonts w:hint="eastAsia" w:ascii="宋体" w:hAnsi="宋体" w:eastAsia="仿宋_GB2312"/>
          <w:sz w:val="32"/>
          <w:szCs w:val="32"/>
        </w:rPr>
        <w:t>年本单位年未实有人数</w:t>
      </w:r>
      <w:r>
        <w:rPr>
          <w:rFonts w:ascii="宋体" w:hAnsi="宋体" w:eastAsia="仿宋_GB2312"/>
          <w:sz w:val="32"/>
          <w:szCs w:val="32"/>
        </w:rPr>
        <w:t>42</w:t>
      </w:r>
      <w:r>
        <w:rPr>
          <w:rFonts w:hint="eastAsia" w:ascii="宋体" w:hAnsi="宋体" w:eastAsia="仿宋_GB2312"/>
          <w:sz w:val="32"/>
          <w:szCs w:val="32"/>
        </w:rPr>
        <w:t>人，比上年变动了增加</w:t>
      </w:r>
      <w:r>
        <w:rPr>
          <w:rFonts w:ascii="宋体" w:hAnsi="宋体" w:eastAsia="仿宋_GB2312"/>
          <w:sz w:val="32"/>
          <w:szCs w:val="32"/>
        </w:rPr>
        <w:t>7</w:t>
      </w:r>
      <w:r>
        <w:rPr>
          <w:rFonts w:hint="eastAsia" w:ascii="宋体" w:hAnsi="宋体" w:eastAsia="仿宋_GB2312"/>
          <w:sz w:val="32"/>
          <w:szCs w:val="32"/>
        </w:rPr>
        <w:t>人。人员变化的主要原因是：正常调进调出。</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4. 工作完成情况</w:t>
      </w:r>
    </w:p>
    <w:p>
      <w:pPr>
        <w:spacing w:line="600" w:lineRule="exact"/>
        <w:ind w:firstLine="640" w:firstLineChars="200"/>
        <w:outlineLvl w:val="0"/>
        <w:rPr>
          <w:rFonts w:ascii="宋体" w:hAnsi="宋体" w:eastAsia="仿宋_GB2312"/>
          <w:sz w:val="32"/>
          <w:szCs w:val="32"/>
        </w:rPr>
      </w:pPr>
      <w:r>
        <w:rPr>
          <w:rFonts w:ascii="宋体" w:hAnsi="宋体" w:eastAsia="仿宋_GB2312"/>
          <w:sz w:val="32"/>
          <w:szCs w:val="32"/>
        </w:rPr>
        <w:t>2019</w:t>
      </w:r>
      <w:r>
        <w:rPr>
          <w:rFonts w:hint="eastAsia" w:ascii="宋体" w:hAnsi="宋体" w:eastAsia="仿宋_GB2312"/>
          <w:sz w:val="32"/>
          <w:szCs w:val="32"/>
        </w:rPr>
        <w:t>年是新中国成立</w:t>
      </w:r>
      <w:r>
        <w:rPr>
          <w:rFonts w:ascii="宋体" w:hAnsi="宋体" w:eastAsia="仿宋_GB2312"/>
          <w:sz w:val="32"/>
          <w:szCs w:val="32"/>
        </w:rPr>
        <w:t>70</w:t>
      </w:r>
      <w:r>
        <w:rPr>
          <w:rFonts w:hint="eastAsia" w:ascii="宋体" w:hAnsi="宋体" w:eastAsia="仿宋_GB2312"/>
          <w:sz w:val="32"/>
          <w:szCs w:val="32"/>
        </w:rPr>
        <w:t>周年，是决胜全面建成小康社会、实现第一个百年奋斗目标的关键之年，也是地方人大设立常委会</w:t>
      </w:r>
      <w:r>
        <w:rPr>
          <w:rFonts w:ascii="宋体" w:hAnsi="宋体" w:eastAsia="仿宋_GB2312"/>
          <w:sz w:val="32"/>
          <w:szCs w:val="32"/>
        </w:rPr>
        <w:t>40</w:t>
      </w:r>
      <w:r>
        <w:rPr>
          <w:rFonts w:hint="eastAsia" w:ascii="宋体" w:hAnsi="宋体" w:eastAsia="仿宋_GB2312"/>
          <w:sz w:val="32"/>
          <w:szCs w:val="32"/>
        </w:rPr>
        <w:t>周年。一年来，在区委的正确领导下，区人大常委会深入学习贯彻习近平新时代中国特色社会主义思想和党的十九大及十九届二中、三中、四中全会精神，坚持党的</w:t>
      </w:r>
      <w:r>
        <w:rPr>
          <w:rFonts w:hint="eastAsia" w:ascii="宋体" w:hAnsi="宋体" w:eastAsia="仿宋_GB2312"/>
          <w:sz w:val="32"/>
          <w:szCs w:val="32"/>
          <w:lang w:eastAsia="zh-CN"/>
        </w:rPr>
        <w:t>全面</w:t>
      </w:r>
      <w:r>
        <w:rPr>
          <w:rFonts w:hint="eastAsia" w:ascii="宋体" w:hAnsi="宋体" w:eastAsia="仿宋_GB2312"/>
          <w:sz w:val="32"/>
          <w:szCs w:val="32"/>
        </w:rPr>
        <w:t>领导、人民当家作主和依法治国有机统一，认真履行宪法和法律赋予的各项职权，圆满完成了区五届人大四次、五次会议确定的目标任务。全年共举行常委会会议</w:t>
      </w:r>
      <w:r>
        <w:rPr>
          <w:rFonts w:ascii="宋体" w:hAnsi="宋体" w:eastAsia="仿宋_GB2312"/>
          <w:sz w:val="32"/>
          <w:szCs w:val="32"/>
        </w:rPr>
        <w:t>9</w:t>
      </w:r>
      <w:r>
        <w:rPr>
          <w:rFonts w:hint="eastAsia" w:ascii="宋体" w:hAnsi="宋体" w:eastAsia="仿宋_GB2312"/>
          <w:sz w:val="32"/>
          <w:szCs w:val="32"/>
        </w:rPr>
        <w:t>次、主任会议</w:t>
      </w:r>
      <w:r>
        <w:rPr>
          <w:rFonts w:ascii="宋体" w:hAnsi="宋体" w:eastAsia="仿宋_GB2312"/>
          <w:sz w:val="32"/>
          <w:szCs w:val="32"/>
        </w:rPr>
        <w:t>29</w:t>
      </w:r>
      <w:r>
        <w:rPr>
          <w:rFonts w:hint="eastAsia" w:ascii="宋体" w:hAnsi="宋体" w:eastAsia="仿宋_GB2312"/>
          <w:sz w:val="32"/>
          <w:szCs w:val="32"/>
        </w:rPr>
        <w:t>次，听取和审议</w:t>
      </w:r>
      <w:r>
        <w:rPr>
          <w:rFonts w:ascii="宋体" w:hAnsi="宋体" w:eastAsia="仿宋_GB2312"/>
          <w:sz w:val="32"/>
          <w:szCs w:val="32"/>
        </w:rPr>
        <w:t>“</w:t>
      </w:r>
      <w:r>
        <w:rPr>
          <w:rFonts w:hint="eastAsia" w:ascii="宋体" w:hAnsi="宋体" w:eastAsia="仿宋_GB2312"/>
          <w:sz w:val="32"/>
          <w:szCs w:val="32"/>
        </w:rPr>
        <w:t>一府两院</w:t>
      </w:r>
      <w:r>
        <w:rPr>
          <w:rFonts w:ascii="宋体" w:hAnsi="宋体" w:eastAsia="仿宋_GB2312"/>
          <w:sz w:val="32"/>
          <w:szCs w:val="32"/>
        </w:rPr>
        <w:t>”</w:t>
      </w:r>
      <w:r>
        <w:rPr>
          <w:rFonts w:hint="eastAsia" w:ascii="宋体" w:hAnsi="宋体" w:eastAsia="仿宋_GB2312"/>
          <w:sz w:val="32"/>
          <w:szCs w:val="32"/>
        </w:rPr>
        <w:t>工作报告</w:t>
      </w:r>
      <w:r>
        <w:rPr>
          <w:rFonts w:ascii="宋体" w:hAnsi="宋体" w:eastAsia="仿宋_GB2312"/>
          <w:sz w:val="32"/>
          <w:szCs w:val="32"/>
        </w:rPr>
        <w:t>13</w:t>
      </w:r>
      <w:r>
        <w:rPr>
          <w:rFonts w:hint="eastAsia" w:ascii="宋体" w:hAnsi="宋体" w:eastAsia="仿宋_GB2312"/>
          <w:sz w:val="32"/>
          <w:szCs w:val="32"/>
        </w:rPr>
        <w:t>项，开展执法检查</w:t>
      </w:r>
      <w:r>
        <w:rPr>
          <w:rFonts w:ascii="宋体" w:hAnsi="宋体" w:eastAsia="仿宋_GB2312"/>
          <w:sz w:val="32"/>
          <w:szCs w:val="32"/>
        </w:rPr>
        <w:t>3</w:t>
      </w:r>
      <w:r>
        <w:rPr>
          <w:rFonts w:hint="eastAsia" w:ascii="宋体" w:hAnsi="宋体" w:eastAsia="仿宋_GB2312"/>
          <w:sz w:val="32"/>
          <w:szCs w:val="32"/>
        </w:rPr>
        <w:t>次，视察、调研</w:t>
      </w:r>
      <w:r>
        <w:rPr>
          <w:rFonts w:ascii="宋体" w:hAnsi="宋体" w:eastAsia="仿宋_GB2312"/>
          <w:sz w:val="32"/>
          <w:szCs w:val="32"/>
        </w:rPr>
        <w:t>27</w:t>
      </w:r>
      <w:r>
        <w:rPr>
          <w:rFonts w:hint="eastAsia" w:ascii="宋体" w:hAnsi="宋体" w:eastAsia="仿宋_GB2312"/>
          <w:sz w:val="32"/>
          <w:szCs w:val="32"/>
        </w:rPr>
        <w:t>次，工作评议</w:t>
      </w:r>
      <w:r>
        <w:rPr>
          <w:rFonts w:ascii="宋体" w:hAnsi="宋体" w:eastAsia="仿宋_GB2312"/>
          <w:sz w:val="32"/>
          <w:szCs w:val="32"/>
        </w:rPr>
        <w:t>2</w:t>
      </w:r>
      <w:r>
        <w:rPr>
          <w:rFonts w:hint="eastAsia" w:ascii="宋体" w:hAnsi="宋体" w:eastAsia="仿宋_GB2312"/>
          <w:sz w:val="32"/>
          <w:szCs w:val="32"/>
        </w:rPr>
        <w:t>次，专题询问</w:t>
      </w:r>
      <w:r>
        <w:rPr>
          <w:rFonts w:ascii="宋体" w:hAnsi="宋体" w:eastAsia="仿宋_GB2312"/>
          <w:sz w:val="32"/>
          <w:szCs w:val="32"/>
        </w:rPr>
        <w:t>1</w:t>
      </w:r>
      <w:r>
        <w:rPr>
          <w:rFonts w:hint="eastAsia" w:ascii="宋体" w:hAnsi="宋体" w:eastAsia="仿宋_GB2312"/>
          <w:sz w:val="32"/>
          <w:szCs w:val="32"/>
        </w:rPr>
        <w:t>次，依法作出决议、决定</w:t>
      </w:r>
      <w:r>
        <w:rPr>
          <w:rFonts w:ascii="宋体" w:hAnsi="宋体" w:eastAsia="仿宋_GB2312"/>
          <w:sz w:val="32"/>
          <w:szCs w:val="32"/>
        </w:rPr>
        <w:t>21</w:t>
      </w:r>
      <w:r>
        <w:rPr>
          <w:rFonts w:hint="eastAsia" w:ascii="宋体" w:hAnsi="宋体" w:eastAsia="仿宋_GB2312"/>
          <w:sz w:val="32"/>
          <w:szCs w:val="32"/>
        </w:rPr>
        <w:t>项，为岳麓经济社会发展和民主法治建设作出了新的贡献。</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（二）部门（单位）整体支出规模、使用方向和主要内容、涉及范围等</w:t>
      </w:r>
    </w:p>
    <w:p>
      <w:pPr>
        <w:spacing w:line="600" w:lineRule="exact"/>
        <w:ind w:firstLine="640" w:firstLineChars="200"/>
        <w:rPr>
          <w:rFonts w:ascii="宋体" w:hAnsi="宋体" w:eastAsia="仿宋_GB2312"/>
          <w:sz w:val="32"/>
          <w:szCs w:val="32"/>
        </w:rPr>
      </w:pPr>
      <w:r>
        <w:rPr>
          <w:rFonts w:ascii="宋体" w:hAnsi="宋体" w:eastAsia="仿宋_GB2312"/>
          <w:sz w:val="32"/>
          <w:szCs w:val="32"/>
        </w:rPr>
        <w:t>2019</w:t>
      </w:r>
      <w:r>
        <w:rPr>
          <w:rFonts w:hint="eastAsia" w:ascii="宋体" w:hAnsi="宋体" w:eastAsia="仿宋_GB2312"/>
          <w:sz w:val="32"/>
          <w:szCs w:val="32"/>
        </w:rPr>
        <w:t>年收入实际完成</w:t>
      </w:r>
      <w:r>
        <w:rPr>
          <w:rFonts w:ascii="宋体" w:hAnsi="宋体" w:eastAsia="仿宋_GB2312"/>
          <w:sz w:val="32"/>
          <w:szCs w:val="32"/>
        </w:rPr>
        <w:t>2281.26</w:t>
      </w:r>
      <w:r>
        <w:rPr>
          <w:rFonts w:hint="eastAsia" w:ascii="宋体" w:hAnsi="宋体" w:eastAsia="仿宋_GB2312"/>
          <w:sz w:val="32"/>
          <w:szCs w:val="32"/>
        </w:rPr>
        <w:t>万元，比上年增加</w:t>
      </w:r>
      <w:r>
        <w:rPr>
          <w:rFonts w:ascii="宋体" w:hAnsi="宋体" w:eastAsia="仿宋_GB2312"/>
          <w:sz w:val="32"/>
          <w:szCs w:val="32"/>
        </w:rPr>
        <w:t>625.62</w:t>
      </w:r>
      <w:r>
        <w:rPr>
          <w:rFonts w:hint="eastAsia" w:ascii="宋体" w:hAnsi="宋体" w:eastAsia="仿宋_GB2312"/>
          <w:sz w:val="32"/>
          <w:szCs w:val="32"/>
        </w:rPr>
        <w:t>万元，增长</w:t>
      </w:r>
      <w:r>
        <w:rPr>
          <w:rFonts w:ascii="宋体" w:hAnsi="宋体" w:eastAsia="仿宋_GB2312"/>
          <w:sz w:val="32"/>
          <w:szCs w:val="32"/>
        </w:rPr>
        <w:t>37.79%</w:t>
      </w:r>
      <w:r>
        <w:rPr>
          <w:rFonts w:hint="eastAsia" w:ascii="宋体" w:hAnsi="宋体" w:eastAsia="仿宋_GB2312"/>
          <w:sz w:val="32"/>
          <w:szCs w:val="32"/>
        </w:rPr>
        <w:t>。主要原因是：剩余指标未归集上缴，全部结转下年。其中：一般公共预算财政拨款收入完成</w:t>
      </w:r>
      <w:r>
        <w:rPr>
          <w:rFonts w:ascii="宋体" w:hAnsi="宋体" w:eastAsia="仿宋_GB2312"/>
          <w:sz w:val="32"/>
          <w:szCs w:val="32"/>
        </w:rPr>
        <w:t>2171.26</w:t>
      </w:r>
      <w:r>
        <w:rPr>
          <w:rFonts w:hint="eastAsia" w:ascii="宋体" w:hAnsi="宋体" w:eastAsia="仿宋_GB2312"/>
          <w:sz w:val="32"/>
          <w:szCs w:val="32"/>
        </w:rPr>
        <w:t>万元，比上年增加</w:t>
      </w:r>
      <w:r>
        <w:rPr>
          <w:rFonts w:ascii="宋体" w:hAnsi="宋体" w:eastAsia="仿宋_GB2312"/>
          <w:sz w:val="32"/>
          <w:szCs w:val="32"/>
        </w:rPr>
        <w:t>515.62</w:t>
      </w:r>
      <w:r>
        <w:rPr>
          <w:rFonts w:hint="eastAsia" w:ascii="宋体" w:hAnsi="宋体" w:eastAsia="仿宋_GB2312"/>
          <w:sz w:val="32"/>
          <w:szCs w:val="32"/>
        </w:rPr>
        <w:t>万元，增长</w:t>
      </w:r>
      <w:r>
        <w:rPr>
          <w:rFonts w:ascii="宋体" w:hAnsi="宋体" w:eastAsia="仿宋_GB2312"/>
          <w:sz w:val="32"/>
          <w:szCs w:val="32"/>
        </w:rPr>
        <w:t>31</w:t>
      </w:r>
      <w:r>
        <w:rPr>
          <w:rFonts w:hint="eastAsia" w:ascii="宋体" w:hAnsi="宋体" w:eastAsia="仿宋_GB2312"/>
          <w:sz w:val="32"/>
          <w:szCs w:val="32"/>
        </w:rPr>
        <w:t>.</w:t>
      </w:r>
      <w:r>
        <w:rPr>
          <w:rFonts w:ascii="宋体" w:hAnsi="宋体" w:eastAsia="仿宋_GB2312"/>
          <w:sz w:val="32"/>
          <w:szCs w:val="32"/>
        </w:rPr>
        <w:t>1</w:t>
      </w:r>
      <w:r>
        <w:rPr>
          <w:rFonts w:hint="eastAsia" w:ascii="宋体" w:hAnsi="宋体" w:eastAsia="仿宋_GB2312"/>
          <w:sz w:val="32"/>
          <w:szCs w:val="32"/>
        </w:rPr>
        <w:t>4</w:t>
      </w:r>
      <w:r>
        <w:rPr>
          <w:rFonts w:ascii="宋体" w:hAnsi="宋体" w:eastAsia="仿宋_GB2312"/>
          <w:sz w:val="32"/>
          <w:szCs w:val="32"/>
        </w:rPr>
        <w:t>%</w:t>
      </w:r>
      <w:r>
        <w:rPr>
          <w:rFonts w:hint="eastAsia" w:ascii="宋体" w:hAnsi="宋体" w:eastAsia="仿宋_GB2312"/>
          <w:sz w:val="32"/>
          <w:szCs w:val="32"/>
        </w:rPr>
        <w:t>，变化的主要原因是：剩余指标未归集上缴，全部结转下年；政府性基金财政拨款收入完成</w:t>
      </w:r>
      <w:r>
        <w:rPr>
          <w:rFonts w:ascii="宋体" w:hAnsi="宋体" w:eastAsia="仿宋_GB2312"/>
          <w:sz w:val="32"/>
          <w:szCs w:val="32"/>
        </w:rPr>
        <w:t>0</w:t>
      </w:r>
      <w:r>
        <w:rPr>
          <w:rFonts w:hint="eastAsia" w:ascii="宋体" w:hAnsi="宋体" w:eastAsia="仿宋_GB2312"/>
          <w:sz w:val="32"/>
          <w:szCs w:val="32"/>
        </w:rPr>
        <w:t>万元，与上年相比无增减变化；上级补助收入完成</w:t>
      </w:r>
      <w:r>
        <w:rPr>
          <w:rFonts w:ascii="宋体" w:hAnsi="宋体" w:eastAsia="仿宋_GB2312"/>
          <w:sz w:val="32"/>
          <w:szCs w:val="32"/>
        </w:rPr>
        <w:t>0</w:t>
      </w:r>
      <w:r>
        <w:rPr>
          <w:rFonts w:hint="eastAsia" w:ascii="宋体" w:hAnsi="宋体" w:eastAsia="仿宋_GB2312"/>
          <w:sz w:val="32"/>
          <w:szCs w:val="32"/>
        </w:rPr>
        <w:t>万元，与上年相比无增减变化；事业收入完成</w:t>
      </w:r>
      <w:r>
        <w:rPr>
          <w:rFonts w:ascii="宋体" w:hAnsi="宋体" w:eastAsia="仿宋_GB2312"/>
          <w:sz w:val="32"/>
          <w:szCs w:val="32"/>
        </w:rPr>
        <w:t>0</w:t>
      </w:r>
      <w:r>
        <w:rPr>
          <w:rFonts w:hint="eastAsia" w:ascii="宋体" w:hAnsi="宋体" w:eastAsia="仿宋_GB2312"/>
          <w:sz w:val="32"/>
          <w:szCs w:val="32"/>
        </w:rPr>
        <w:t>万元，与上年相比无增减变化；经营收入完成</w:t>
      </w:r>
      <w:r>
        <w:rPr>
          <w:rFonts w:ascii="宋体" w:hAnsi="宋体" w:eastAsia="仿宋_GB2312"/>
          <w:sz w:val="32"/>
          <w:szCs w:val="32"/>
        </w:rPr>
        <w:t xml:space="preserve"> </w:t>
      </w:r>
      <w:r>
        <w:rPr>
          <w:rFonts w:hint="eastAsia" w:ascii="宋体" w:hAnsi="宋体" w:eastAsia="仿宋_GB2312"/>
          <w:sz w:val="32"/>
          <w:szCs w:val="32"/>
        </w:rPr>
        <w:t>万元，与上年相比无增减变化；附属单位上缴收入完成</w:t>
      </w:r>
      <w:r>
        <w:rPr>
          <w:rFonts w:ascii="宋体" w:hAnsi="宋体" w:eastAsia="仿宋_GB2312"/>
          <w:sz w:val="32"/>
          <w:szCs w:val="32"/>
        </w:rPr>
        <w:t>0</w:t>
      </w:r>
      <w:r>
        <w:rPr>
          <w:rFonts w:hint="eastAsia" w:ascii="宋体" w:hAnsi="宋体" w:eastAsia="仿宋_GB2312"/>
          <w:sz w:val="32"/>
          <w:szCs w:val="32"/>
        </w:rPr>
        <w:t>万元，与上年相比无增减变化；其他收入完成</w:t>
      </w:r>
      <w:r>
        <w:rPr>
          <w:rFonts w:ascii="宋体" w:hAnsi="宋体" w:eastAsia="仿宋_GB2312"/>
          <w:sz w:val="32"/>
          <w:szCs w:val="32"/>
        </w:rPr>
        <w:t>110</w:t>
      </w:r>
      <w:r>
        <w:rPr>
          <w:rFonts w:hint="eastAsia" w:ascii="宋体" w:hAnsi="宋体" w:eastAsia="仿宋_GB2312"/>
          <w:sz w:val="32"/>
          <w:szCs w:val="32"/>
        </w:rPr>
        <w:t>万元，比上年增加</w:t>
      </w:r>
      <w:r>
        <w:rPr>
          <w:rFonts w:ascii="宋体" w:hAnsi="宋体" w:eastAsia="仿宋_GB2312"/>
          <w:sz w:val="32"/>
          <w:szCs w:val="32"/>
        </w:rPr>
        <w:t>110</w:t>
      </w:r>
      <w:r>
        <w:rPr>
          <w:rFonts w:hint="eastAsia" w:ascii="宋体" w:hAnsi="宋体" w:eastAsia="仿宋_GB2312"/>
          <w:sz w:val="32"/>
          <w:szCs w:val="32"/>
        </w:rPr>
        <w:t>万元，增长</w:t>
      </w:r>
      <w:r>
        <w:rPr>
          <w:rFonts w:ascii="宋体" w:hAnsi="宋体" w:eastAsia="仿宋_GB2312"/>
          <w:sz w:val="32"/>
          <w:szCs w:val="32"/>
        </w:rPr>
        <w:t>100%</w:t>
      </w:r>
      <w:r>
        <w:rPr>
          <w:rFonts w:hint="eastAsia" w:ascii="宋体" w:hAnsi="宋体" w:eastAsia="仿宋_GB2312"/>
          <w:sz w:val="32"/>
          <w:szCs w:val="32"/>
        </w:rPr>
        <w:t>，变化的主要原因是：</w:t>
      </w:r>
      <w:r>
        <w:rPr>
          <w:rFonts w:ascii="宋体" w:hAnsi="宋体" w:eastAsia="仿宋_GB2312"/>
          <w:sz w:val="32"/>
          <w:szCs w:val="32"/>
        </w:rPr>
        <w:t>110</w:t>
      </w:r>
      <w:r>
        <w:rPr>
          <w:rFonts w:hint="eastAsia" w:ascii="宋体" w:hAnsi="宋体" w:eastAsia="仿宋_GB2312"/>
          <w:sz w:val="32"/>
          <w:szCs w:val="32"/>
        </w:rPr>
        <w:t>万为上年结转指标，但上年指标未作收入，本年作其他收入。</w:t>
      </w:r>
    </w:p>
    <w:p>
      <w:pPr>
        <w:spacing w:line="600" w:lineRule="exact"/>
        <w:ind w:firstLine="640" w:firstLineChars="200"/>
        <w:rPr>
          <w:rFonts w:ascii="宋体" w:hAnsi="宋体" w:eastAsia="仿宋_GB2312"/>
          <w:sz w:val="32"/>
          <w:szCs w:val="32"/>
        </w:rPr>
      </w:pPr>
      <w:r>
        <w:rPr>
          <w:rFonts w:ascii="宋体" w:hAnsi="宋体" w:eastAsia="仿宋_GB2312"/>
          <w:sz w:val="32"/>
          <w:szCs w:val="32"/>
        </w:rPr>
        <w:t>2019</w:t>
      </w:r>
      <w:r>
        <w:rPr>
          <w:rFonts w:hint="eastAsia" w:ascii="宋体" w:hAnsi="宋体" w:eastAsia="仿宋_GB2312"/>
          <w:sz w:val="32"/>
          <w:szCs w:val="32"/>
        </w:rPr>
        <w:t>年，本部门支出</w:t>
      </w:r>
      <w:r>
        <w:rPr>
          <w:rFonts w:ascii="宋体" w:hAnsi="宋体" w:eastAsia="仿宋_GB2312"/>
          <w:sz w:val="32"/>
          <w:szCs w:val="32"/>
        </w:rPr>
        <w:t>2018.63</w:t>
      </w:r>
      <w:r>
        <w:rPr>
          <w:rFonts w:hint="eastAsia" w:ascii="宋体" w:hAnsi="宋体" w:eastAsia="仿宋_GB2312"/>
          <w:sz w:val="32"/>
          <w:szCs w:val="32"/>
        </w:rPr>
        <w:t>万元，比上年增加</w:t>
      </w:r>
      <w:r>
        <w:rPr>
          <w:rFonts w:ascii="宋体" w:hAnsi="宋体" w:eastAsia="仿宋_GB2312"/>
          <w:sz w:val="32"/>
          <w:szCs w:val="32"/>
        </w:rPr>
        <w:t>210.75</w:t>
      </w:r>
      <w:r>
        <w:rPr>
          <w:rFonts w:hint="eastAsia" w:ascii="宋体" w:hAnsi="宋体" w:eastAsia="仿宋_GB2312"/>
          <w:sz w:val="32"/>
          <w:szCs w:val="32"/>
        </w:rPr>
        <w:t>万元，增长</w:t>
      </w:r>
      <w:r>
        <w:rPr>
          <w:rFonts w:ascii="宋体" w:hAnsi="宋体" w:eastAsia="仿宋_GB2312"/>
          <w:sz w:val="32"/>
          <w:szCs w:val="32"/>
        </w:rPr>
        <w:t>11.66%</w:t>
      </w:r>
      <w:r>
        <w:rPr>
          <w:rFonts w:hint="eastAsia" w:ascii="宋体" w:hAnsi="宋体" w:eastAsia="仿宋_GB2312"/>
          <w:sz w:val="32"/>
          <w:szCs w:val="32"/>
        </w:rPr>
        <w:t>；变化的主要原因：人员增加及人大会议次数增加。其中：基本支出完成</w:t>
      </w:r>
      <w:r>
        <w:rPr>
          <w:rFonts w:ascii="宋体" w:hAnsi="宋体" w:eastAsia="仿宋_GB2312"/>
          <w:sz w:val="32"/>
          <w:szCs w:val="32"/>
        </w:rPr>
        <w:t>1238.17</w:t>
      </w:r>
      <w:r>
        <w:rPr>
          <w:rFonts w:hint="eastAsia" w:ascii="宋体" w:hAnsi="宋体" w:eastAsia="仿宋_GB2312"/>
          <w:sz w:val="32"/>
          <w:szCs w:val="32"/>
        </w:rPr>
        <w:t>万元，比上年增加</w:t>
      </w:r>
      <w:r>
        <w:rPr>
          <w:rFonts w:ascii="宋体" w:hAnsi="宋体" w:eastAsia="仿宋_GB2312"/>
          <w:sz w:val="32"/>
          <w:szCs w:val="32"/>
        </w:rPr>
        <w:t>141.12</w:t>
      </w:r>
      <w:r>
        <w:rPr>
          <w:rFonts w:hint="eastAsia" w:ascii="宋体" w:hAnsi="宋体" w:eastAsia="仿宋_GB2312"/>
          <w:sz w:val="32"/>
          <w:szCs w:val="32"/>
        </w:rPr>
        <w:t>万元，增长</w:t>
      </w:r>
      <w:r>
        <w:rPr>
          <w:rFonts w:ascii="宋体" w:hAnsi="宋体" w:eastAsia="仿宋_GB2312"/>
          <w:sz w:val="32"/>
          <w:szCs w:val="32"/>
        </w:rPr>
        <w:t>12.86%</w:t>
      </w:r>
      <w:r>
        <w:rPr>
          <w:rFonts w:hint="eastAsia" w:ascii="宋体" w:hAnsi="宋体" w:eastAsia="仿宋_GB2312"/>
          <w:sz w:val="32"/>
          <w:szCs w:val="32"/>
        </w:rPr>
        <w:t>，变化的主要原因：人员增加五人，人员经费相应增加。项目支出780.4</w:t>
      </w:r>
      <w:r>
        <w:rPr>
          <w:rFonts w:ascii="宋体" w:hAnsi="宋体" w:eastAsia="仿宋_GB2312"/>
          <w:sz w:val="32"/>
          <w:szCs w:val="32"/>
        </w:rPr>
        <w:t>6</w:t>
      </w:r>
      <w:r>
        <w:rPr>
          <w:rFonts w:hint="eastAsia" w:ascii="宋体" w:hAnsi="宋体" w:eastAsia="仿宋_GB2312"/>
          <w:sz w:val="32"/>
          <w:szCs w:val="32"/>
        </w:rPr>
        <w:t>万元，比上年增加69.63万元，增长9.80</w:t>
      </w:r>
      <w:r>
        <w:rPr>
          <w:rFonts w:ascii="宋体" w:hAnsi="宋体" w:eastAsia="仿宋_GB2312"/>
          <w:sz w:val="32"/>
          <w:szCs w:val="32"/>
        </w:rPr>
        <w:t>%</w:t>
      </w:r>
      <w:r>
        <w:rPr>
          <w:rFonts w:hint="eastAsia" w:ascii="宋体" w:hAnsi="宋体" w:eastAsia="仿宋_GB2312"/>
          <w:sz w:val="32"/>
          <w:szCs w:val="32"/>
        </w:rPr>
        <w:t>；变化的主要原因：会议次数及支出增加。人员经费完成</w:t>
      </w:r>
      <w:r>
        <w:rPr>
          <w:rFonts w:ascii="宋体" w:hAnsi="宋体" w:eastAsia="仿宋_GB2312"/>
          <w:sz w:val="32"/>
          <w:szCs w:val="32"/>
        </w:rPr>
        <w:t>1256.57</w:t>
      </w:r>
      <w:r>
        <w:rPr>
          <w:rFonts w:hint="eastAsia" w:ascii="宋体" w:hAnsi="宋体" w:eastAsia="仿宋_GB2312"/>
          <w:sz w:val="32"/>
          <w:szCs w:val="32"/>
        </w:rPr>
        <w:t>万元，比上年增加</w:t>
      </w:r>
      <w:r>
        <w:rPr>
          <w:rFonts w:ascii="宋体" w:hAnsi="宋体" w:eastAsia="仿宋_GB2312"/>
          <w:sz w:val="32"/>
          <w:szCs w:val="32"/>
        </w:rPr>
        <w:t>199.02</w:t>
      </w:r>
      <w:r>
        <w:rPr>
          <w:rFonts w:hint="eastAsia" w:ascii="宋体" w:hAnsi="宋体" w:eastAsia="仿宋_GB2312"/>
          <w:sz w:val="32"/>
          <w:szCs w:val="32"/>
        </w:rPr>
        <w:t>万元，增长</w:t>
      </w:r>
      <w:r>
        <w:rPr>
          <w:rFonts w:ascii="宋体" w:hAnsi="宋体" w:eastAsia="仿宋_GB2312"/>
          <w:sz w:val="32"/>
          <w:szCs w:val="32"/>
        </w:rPr>
        <w:t>18.82%</w:t>
      </w:r>
      <w:r>
        <w:rPr>
          <w:rFonts w:hint="eastAsia" w:ascii="宋体" w:hAnsi="宋体" w:eastAsia="仿宋_GB2312"/>
          <w:sz w:val="32"/>
          <w:szCs w:val="32"/>
        </w:rPr>
        <w:t>，变化的主要原因：人员增加</w:t>
      </w:r>
      <w:r>
        <w:rPr>
          <w:rFonts w:ascii="宋体" w:hAnsi="宋体" w:eastAsia="仿宋_GB2312"/>
          <w:sz w:val="32"/>
          <w:szCs w:val="32"/>
        </w:rPr>
        <w:t>5</w:t>
      </w:r>
      <w:r>
        <w:rPr>
          <w:rFonts w:hint="eastAsia" w:ascii="宋体" w:hAnsi="宋体" w:eastAsia="仿宋_GB2312"/>
          <w:sz w:val="32"/>
          <w:szCs w:val="32"/>
        </w:rPr>
        <w:t>人及工资及待遇调标；公用经费完成</w:t>
      </w:r>
      <w:r>
        <w:rPr>
          <w:rFonts w:ascii="宋体" w:hAnsi="宋体" w:eastAsia="仿宋_GB2312"/>
          <w:sz w:val="32"/>
          <w:szCs w:val="32"/>
        </w:rPr>
        <w:t>39.02</w:t>
      </w:r>
      <w:r>
        <w:rPr>
          <w:rFonts w:hint="eastAsia" w:ascii="宋体" w:hAnsi="宋体" w:eastAsia="仿宋_GB2312"/>
          <w:sz w:val="32"/>
          <w:szCs w:val="32"/>
        </w:rPr>
        <w:t>万元，比上年减少</w:t>
      </w:r>
      <w:r>
        <w:rPr>
          <w:rFonts w:ascii="宋体" w:hAnsi="宋体" w:eastAsia="仿宋_GB2312"/>
          <w:sz w:val="32"/>
          <w:szCs w:val="32"/>
        </w:rPr>
        <w:t>0.49</w:t>
      </w:r>
      <w:r>
        <w:rPr>
          <w:rFonts w:hint="eastAsia" w:ascii="宋体" w:hAnsi="宋体" w:eastAsia="仿宋_GB2312"/>
          <w:sz w:val="32"/>
          <w:szCs w:val="32"/>
        </w:rPr>
        <w:t>万元，下降</w:t>
      </w:r>
      <w:r>
        <w:rPr>
          <w:rFonts w:ascii="宋体" w:hAnsi="宋体" w:eastAsia="仿宋_GB2312"/>
          <w:sz w:val="32"/>
          <w:szCs w:val="32"/>
        </w:rPr>
        <w:t>1.24%</w:t>
      </w:r>
      <w:r>
        <w:rPr>
          <w:rFonts w:hint="eastAsia" w:ascii="宋体" w:hAnsi="宋体" w:eastAsia="仿宋_GB2312"/>
          <w:sz w:val="32"/>
          <w:szCs w:val="32"/>
        </w:rPr>
        <w:t>，变化的主要原因：严控一般性支出。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二、部门（单位）整体支出管理及使用情况</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（一）基本支出</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基本支出1238.17万元，系为保障单位机构正常运转、完成日常工作任务而发生的各项支出，主要包括基本工资、津贴补贴等人员经费以及办公费、印刷费、公务用车运行维护费、工会经费、招待费、其他商品服务支出、办公设备购置等日常公用经费。</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（二）专项支出</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1、项目支出安排落实、总投入等情况分析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项目支出780.46万元，比上年增加69.63万元，系单位为完成特定行政工作任务或事业发展目标而发生的支出，主要包区五届人大五次会议、区五届人大六次</w:t>
      </w:r>
      <w:r>
        <w:rPr>
          <w:rFonts w:hint="eastAsia" w:ascii="宋体" w:hAnsi="宋体" w:eastAsia="仿宋_GB2312"/>
          <w:sz w:val="32"/>
          <w:szCs w:val="32"/>
          <w:lang w:eastAsia="zh-CN"/>
        </w:rPr>
        <w:t>会议</w:t>
      </w:r>
      <w:r>
        <w:rPr>
          <w:rFonts w:hint="eastAsia" w:ascii="宋体" w:hAnsi="宋体" w:eastAsia="仿宋_GB2312"/>
          <w:sz w:val="32"/>
          <w:szCs w:val="32"/>
        </w:rPr>
        <w:t>专项经费、双联活动专项经费、区代表履职活动经费、调研、执法检查、视察及督办经费、人大“六行”活动经费等项目。</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2、项目支出实际使用情况分析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区人大项目支出主要使用情况如下：</w:t>
      </w:r>
    </w:p>
    <w:p>
      <w:pPr>
        <w:spacing w:line="600" w:lineRule="exact"/>
        <w:ind w:firstLine="640"/>
        <w:outlineLvl w:val="0"/>
        <w:rPr>
          <w:rFonts w:ascii="宋体" w:hAnsi="宋体" w:eastAsia="仿宋_GB2312"/>
          <w:sz w:val="32"/>
          <w:szCs w:val="32"/>
        </w:rPr>
      </w:pPr>
      <w:r>
        <w:rPr>
          <w:rFonts w:hint="eastAsia" w:ascii="宋体" w:hAnsi="宋体" w:eastAsia="仿宋_GB2312"/>
          <w:sz w:val="32"/>
          <w:szCs w:val="32"/>
        </w:rPr>
        <w:t>（1）双联活动经费实际拨付金额为150万元，其中当年财政拨款85万元，上年结转资金70万元，全年执行数为143.16万元，主要用于对19个街道、镇人大“双联双建”工作进行规范，并组织现场观摩交流。</w:t>
      </w:r>
    </w:p>
    <w:p>
      <w:pPr>
        <w:spacing w:line="600" w:lineRule="exact"/>
        <w:ind w:firstLine="640"/>
        <w:outlineLvl w:val="0"/>
        <w:rPr>
          <w:rFonts w:ascii="宋体" w:hAnsi="宋体" w:eastAsia="仿宋_GB2312"/>
          <w:sz w:val="32"/>
          <w:szCs w:val="32"/>
        </w:rPr>
      </w:pPr>
      <w:r>
        <w:rPr>
          <w:rFonts w:hint="eastAsia" w:ascii="宋体" w:hAnsi="宋体" w:eastAsia="仿宋_GB2312"/>
          <w:sz w:val="32"/>
          <w:szCs w:val="32"/>
        </w:rPr>
        <w:t>（2）调研、执法检查、视察及督办经费为141万元，其中当年财政拨款101万元，上年结转资金40万元，全年执行数为122.65万元，主要用于区人大常委会全年开展各项工作调研、执法检查、视察及督办工作。</w:t>
      </w:r>
    </w:p>
    <w:p>
      <w:pPr>
        <w:spacing w:line="600" w:lineRule="exact"/>
        <w:ind w:firstLine="640"/>
        <w:outlineLvl w:val="0"/>
        <w:rPr>
          <w:rFonts w:ascii="宋体" w:hAnsi="宋体" w:eastAsia="仿宋_GB2312"/>
          <w:sz w:val="32"/>
          <w:szCs w:val="32"/>
        </w:rPr>
      </w:pPr>
      <w:r>
        <w:rPr>
          <w:rFonts w:hint="eastAsia" w:ascii="宋体" w:hAnsi="宋体" w:eastAsia="仿宋_GB2312"/>
          <w:sz w:val="32"/>
          <w:szCs w:val="32"/>
        </w:rPr>
        <w:t>（3）区代表履职活动经费为53万元，为当年财政拨款，全年执行数为52.6万元，为区代表履职活动顺利开展提供保障。</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3、项目支出管理情况分析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区人大建立了完善的项目资金管理制度，以及专项资金管理办法，收支两条线，专款专用，项目资金执行使用到位。</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（三）三公经费</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2019年“三公经费”支出合计1.02元，比预算减少27.48万元，降低96.39%。减少的主要原因是：严守八项规定，严控三公支出。其中：因公出国（境）费完成</w:t>
      </w:r>
      <w:r>
        <w:rPr>
          <w:rFonts w:ascii="宋体" w:hAnsi="宋体" w:eastAsia="仿宋_GB2312"/>
          <w:sz w:val="32"/>
          <w:szCs w:val="32"/>
        </w:rPr>
        <w:t>0</w:t>
      </w:r>
      <w:r>
        <w:rPr>
          <w:rFonts w:hint="eastAsia" w:ascii="宋体" w:hAnsi="宋体" w:eastAsia="仿宋_GB2312"/>
          <w:sz w:val="32"/>
          <w:szCs w:val="32"/>
        </w:rPr>
        <w:t>万元，与上年相比无增减变化；公务接待费完成</w:t>
      </w:r>
      <w:r>
        <w:rPr>
          <w:rFonts w:ascii="宋体" w:hAnsi="宋体" w:eastAsia="仿宋_GB2312"/>
          <w:sz w:val="32"/>
          <w:szCs w:val="32"/>
        </w:rPr>
        <w:t>1.02</w:t>
      </w:r>
      <w:r>
        <w:rPr>
          <w:rFonts w:hint="eastAsia" w:ascii="宋体" w:hAnsi="宋体" w:eastAsia="仿宋_GB2312"/>
          <w:sz w:val="32"/>
          <w:szCs w:val="32"/>
        </w:rPr>
        <w:t>万元，比上年减少</w:t>
      </w:r>
      <w:r>
        <w:rPr>
          <w:rFonts w:ascii="宋体" w:hAnsi="宋体" w:eastAsia="仿宋_GB2312"/>
          <w:sz w:val="32"/>
          <w:szCs w:val="32"/>
        </w:rPr>
        <w:t>0.04</w:t>
      </w:r>
      <w:r>
        <w:rPr>
          <w:rFonts w:hint="eastAsia" w:ascii="宋体" w:hAnsi="宋体" w:eastAsia="仿宋_GB2312"/>
          <w:sz w:val="32"/>
          <w:szCs w:val="32"/>
        </w:rPr>
        <w:t>元，下降</w:t>
      </w:r>
      <w:r>
        <w:rPr>
          <w:rFonts w:ascii="宋体" w:hAnsi="宋体" w:eastAsia="仿宋_GB2312"/>
          <w:sz w:val="32"/>
          <w:szCs w:val="32"/>
        </w:rPr>
        <w:t>3.77%</w:t>
      </w:r>
      <w:r>
        <w:rPr>
          <w:rFonts w:hint="eastAsia" w:ascii="宋体" w:hAnsi="宋体" w:eastAsia="仿宋_GB2312"/>
          <w:sz w:val="32"/>
          <w:szCs w:val="32"/>
        </w:rPr>
        <w:t>，增减变化的主要原因是：严守八项规定，严控三公支出；公务用车购置及运行维护费完成</w:t>
      </w:r>
      <w:r>
        <w:rPr>
          <w:rFonts w:ascii="宋体" w:hAnsi="宋体" w:eastAsia="仿宋_GB2312"/>
          <w:sz w:val="32"/>
          <w:szCs w:val="32"/>
        </w:rPr>
        <w:t>0</w:t>
      </w:r>
      <w:r>
        <w:rPr>
          <w:rFonts w:hint="eastAsia" w:ascii="宋体" w:hAnsi="宋体" w:eastAsia="仿宋_GB2312"/>
          <w:sz w:val="32"/>
          <w:szCs w:val="32"/>
        </w:rPr>
        <w:t>万元，与上年相比无增减变化。</w:t>
      </w:r>
    </w:p>
    <w:p>
      <w:pPr>
        <w:spacing w:line="600" w:lineRule="exact"/>
        <w:ind w:firstLine="640" w:firstLineChars="200"/>
        <w:outlineLvl w:val="0"/>
        <w:rPr>
          <w:rFonts w:ascii="宋体" w:hAnsi="宋体"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三、部门（单位）专项组织实施情况</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（一）专项组织情况分析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根据《长沙市岳麓区财政局关于开展2020年单位绩效自评工作的通知》，我单位从项目立项、绩效目标、资金管理、财务信息质量以及项目经济社会效益等方面进行了绩效评价。按照工作内容、工作措施、工作时限和要达到的预期效果，进一步分解细化工作任务，使绩效评价指标与各部门工作任务结合起来，推动各项工作落实。</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（二）专项管理情况分析</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区人大建立了完善的项目资金管理制度，以及专项资金管理办法，收支两条线，专款专用，项目资金执行使用到位。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四、部门（单位）整体支出绩效情况 </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我单位充分履行职责职能，严格按照财经法规及制度使用、管理资金，成效明显，主要体现在以下几个方面：</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一是狠抓资金使用效益。表现在：一是保障了在职干部工资、津贴补贴的及时足额发放；二是保障了单位的正常运转，各项工作开展顺利；三是资金使用无虚列支出及随意使用现象，无大额现金支付现象。</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二是效率高，用有限的资金全力保障了人大工作，绩效考核评估等指标全面完成。</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五、存在的主要问题</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项目资金预算不够完成，部分资金未列入预算。</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六、改进措施和有关建议</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进一步规范财务管理，抓好财务内控制度的完善。</w:t>
      </w:r>
    </w:p>
    <w:p>
      <w:pPr>
        <w:spacing w:line="220" w:lineRule="atLeast"/>
      </w:pPr>
    </w:p>
    <w:sectPr>
      <w:headerReference r:id="rId4" w:type="default"/>
      <w:footerReference r:id="rId5" w:type="default"/>
      <w:footerReference r:id="rId6" w:type="even"/>
      <w:pgSz w:w="11906" w:h="16838"/>
      <w:pgMar w:top="1701" w:right="1304" w:bottom="1701" w:left="1588"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spacing w:after="0"/>
      <w:rPr>
        <w:rStyle w:val="8"/>
        <w:rFonts w:ascii="宋体" w:hAnsi="宋体" w:eastAsia="宋体"/>
        <w:sz w:val="28"/>
        <w:szCs w:val="28"/>
      </w:rPr>
    </w:pPr>
    <w:r>
      <w:rPr>
        <w:rStyle w:val="8"/>
        <w:rFonts w:ascii="宋体" w:hAnsi="宋体" w:eastAsia="宋体"/>
        <w:sz w:val="28"/>
        <w:szCs w:val="28"/>
      </w:rPr>
      <w:t xml:space="preserve">— </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9</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4"/>
      <w:ind w:right="360" w:firstLine="360"/>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- 4 -</w:t>
    </w:r>
    <w:r>
      <w:rPr>
        <w:rStyle w:val="8"/>
      </w:rPr>
      <w:fldChar w:fldCharType="end"/>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footnotePr>
    <w:footnote w:id="0"/>
    <w:footnote w:id="1"/>
  </w:foot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54157"/>
    <w:rsid w:val="00076C7C"/>
    <w:rsid w:val="0008498E"/>
    <w:rsid w:val="000A3393"/>
    <w:rsid w:val="00133C1C"/>
    <w:rsid w:val="00151846"/>
    <w:rsid w:val="0016352B"/>
    <w:rsid w:val="001858DC"/>
    <w:rsid w:val="001A6E12"/>
    <w:rsid w:val="001A76A7"/>
    <w:rsid w:val="001B1B49"/>
    <w:rsid w:val="00205951"/>
    <w:rsid w:val="00213D4C"/>
    <w:rsid w:val="0022254F"/>
    <w:rsid w:val="00227F07"/>
    <w:rsid w:val="00256F5A"/>
    <w:rsid w:val="002637BD"/>
    <w:rsid w:val="002D29DE"/>
    <w:rsid w:val="002D6E1D"/>
    <w:rsid w:val="00306CF7"/>
    <w:rsid w:val="003104A3"/>
    <w:rsid w:val="00316986"/>
    <w:rsid w:val="00323B43"/>
    <w:rsid w:val="003A65FC"/>
    <w:rsid w:val="003A6751"/>
    <w:rsid w:val="003C29E8"/>
    <w:rsid w:val="003D37D8"/>
    <w:rsid w:val="003F475F"/>
    <w:rsid w:val="0041576F"/>
    <w:rsid w:val="00420A01"/>
    <w:rsid w:val="00426133"/>
    <w:rsid w:val="00427F1F"/>
    <w:rsid w:val="004358AB"/>
    <w:rsid w:val="004371CB"/>
    <w:rsid w:val="00481E14"/>
    <w:rsid w:val="004C563D"/>
    <w:rsid w:val="004E6F1E"/>
    <w:rsid w:val="004E7D6D"/>
    <w:rsid w:val="00503BE9"/>
    <w:rsid w:val="00515FE0"/>
    <w:rsid w:val="00536125"/>
    <w:rsid w:val="005E562F"/>
    <w:rsid w:val="006107A2"/>
    <w:rsid w:val="006254BE"/>
    <w:rsid w:val="00640343"/>
    <w:rsid w:val="006455DF"/>
    <w:rsid w:val="00687566"/>
    <w:rsid w:val="00696952"/>
    <w:rsid w:val="006A5A71"/>
    <w:rsid w:val="006E72A8"/>
    <w:rsid w:val="00770A25"/>
    <w:rsid w:val="00786B91"/>
    <w:rsid w:val="007C1B89"/>
    <w:rsid w:val="007E2D11"/>
    <w:rsid w:val="00832514"/>
    <w:rsid w:val="00855F67"/>
    <w:rsid w:val="008626AE"/>
    <w:rsid w:val="00880B4C"/>
    <w:rsid w:val="00883A87"/>
    <w:rsid w:val="008B27E4"/>
    <w:rsid w:val="008B7726"/>
    <w:rsid w:val="008C5036"/>
    <w:rsid w:val="00902567"/>
    <w:rsid w:val="0090605A"/>
    <w:rsid w:val="00916017"/>
    <w:rsid w:val="0092166C"/>
    <w:rsid w:val="00964490"/>
    <w:rsid w:val="0099071D"/>
    <w:rsid w:val="00992DAB"/>
    <w:rsid w:val="009E75B9"/>
    <w:rsid w:val="009F063F"/>
    <w:rsid w:val="00A27F8B"/>
    <w:rsid w:val="00A27FB2"/>
    <w:rsid w:val="00A835E8"/>
    <w:rsid w:val="00A83B53"/>
    <w:rsid w:val="00A84982"/>
    <w:rsid w:val="00AC6BCE"/>
    <w:rsid w:val="00AD495A"/>
    <w:rsid w:val="00AF5879"/>
    <w:rsid w:val="00B06061"/>
    <w:rsid w:val="00B14573"/>
    <w:rsid w:val="00B37896"/>
    <w:rsid w:val="00B54DE2"/>
    <w:rsid w:val="00B83658"/>
    <w:rsid w:val="00C059CE"/>
    <w:rsid w:val="00C15BCC"/>
    <w:rsid w:val="00C405F6"/>
    <w:rsid w:val="00C92F31"/>
    <w:rsid w:val="00C9538A"/>
    <w:rsid w:val="00C95EA5"/>
    <w:rsid w:val="00CA70B1"/>
    <w:rsid w:val="00CB08E0"/>
    <w:rsid w:val="00CE7BA1"/>
    <w:rsid w:val="00CF03F6"/>
    <w:rsid w:val="00CF2A04"/>
    <w:rsid w:val="00D31D50"/>
    <w:rsid w:val="00D9088B"/>
    <w:rsid w:val="00DA2357"/>
    <w:rsid w:val="00DB38E6"/>
    <w:rsid w:val="00DC07EA"/>
    <w:rsid w:val="00DD1EA9"/>
    <w:rsid w:val="00DE444C"/>
    <w:rsid w:val="00E00F84"/>
    <w:rsid w:val="00E41770"/>
    <w:rsid w:val="00E46B5D"/>
    <w:rsid w:val="00EA563C"/>
    <w:rsid w:val="00EA5B81"/>
    <w:rsid w:val="00EB25BD"/>
    <w:rsid w:val="00EF4B92"/>
    <w:rsid w:val="00F31514"/>
    <w:rsid w:val="00F47C2F"/>
    <w:rsid w:val="00F53A86"/>
    <w:rsid w:val="00F71CB4"/>
    <w:rsid w:val="00F87947"/>
    <w:rsid w:val="00F904C5"/>
    <w:rsid w:val="00FB28B2"/>
    <w:rsid w:val="00FB540D"/>
    <w:rsid w:val="00FB5A7D"/>
    <w:rsid w:val="13061BE5"/>
    <w:rsid w:val="52665853"/>
    <w:rsid w:val="69F0791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3"/>
    <w:basedOn w:val="1"/>
    <w:next w:val="1"/>
    <w:link w:val="9"/>
    <w:qFormat/>
    <w:uiPriority w:val="99"/>
    <w:pPr>
      <w:keepNext/>
      <w:keepLines/>
      <w:widowControl w:val="0"/>
      <w:adjustRightInd/>
      <w:snapToGrid/>
      <w:spacing w:after="0" w:line="360" w:lineRule="auto"/>
      <w:jc w:val="both"/>
      <w:outlineLvl w:val="2"/>
    </w:pPr>
    <w:rPr>
      <w:rFonts w:ascii="Times New Roman" w:hAnsi="Times New Roman" w:eastAsia="楷体_GB2312"/>
      <w:b/>
      <w:kern w:val="2"/>
      <w:sz w:val="32"/>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2"/>
    <w:uiPriority w:val="99"/>
    <w:pPr>
      <w:widowControl w:val="0"/>
      <w:adjustRightInd/>
      <w:snapToGrid/>
      <w:spacing w:after="0"/>
      <w:ind w:firstLine="588" w:firstLineChars="200"/>
      <w:jc w:val="both"/>
    </w:pPr>
    <w:rPr>
      <w:rFonts w:ascii="仿宋_GB2312" w:hAnsi="Times New Roman" w:eastAsia="仿宋_GB2312"/>
      <w:kern w:val="2"/>
      <w:sz w:val="32"/>
      <w:szCs w:val="24"/>
    </w:rPr>
  </w:style>
  <w:style w:type="paragraph" w:styleId="4">
    <w:name w:val="footer"/>
    <w:basedOn w:val="1"/>
    <w:link w:val="11"/>
    <w:qFormat/>
    <w:uiPriority w:val="99"/>
    <w:pPr>
      <w:tabs>
        <w:tab w:val="center" w:pos="4153"/>
        <w:tab w:val="right" w:pos="8306"/>
      </w:tabs>
    </w:pPr>
    <w:rPr>
      <w:sz w:val="18"/>
      <w:szCs w:val="18"/>
    </w:rPr>
  </w:style>
  <w:style w:type="paragraph" w:styleId="5">
    <w:name w:val="header"/>
    <w:basedOn w:val="1"/>
    <w:link w:val="10"/>
    <w:uiPriority w:val="99"/>
    <w:pPr>
      <w:pBdr>
        <w:bottom w:val="single" w:color="auto" w:sz="6" w:space="1"/>
      </w:pBdr>
      <w:tabs>
        <w:tab w:val="center" w:pos="4153"/>
        <w:tab w:val="right" w:pos="8306"/>
      </w:tabs>
      <w:jc w:val="center"/>
    </w:pPr>
    <w:rPr>
      <w:sz w:val="18"/>
      <w:szCs w:val="18"/>
    </w:rPr>
  </w:style>
  <w:style w:type="character" w:styleId="8">
    <w:name w:val="page number"/>
    <w:basedOn w:val="7"/>
    <w:uiPriority w:val="99"/>
    <w:rPr>
      <w:rFonts w:cs="Times New Roman"/>
    </w:rPr>
  </w:style>
  <w:style w:type="character" w:customStyle="1" w:styleId="9">
    <w:name w:val="标题 3 Char"/>
    <w:basedOn w:val="7"/>
    <w:link w:val="2"/>
    <w:qFormat/>
    <w:locked/>
    <w:uiPriority w:val="99"/>
    <w:rPr>
      <w:rFonts w:ascii="Times New Roman" w:hAnsi="Times New Roman" w:eastAsia="楷体_GB2312" w:cs="Times New Roman"/>
      <w:b/>
      <w:kern w:val="2"/>
      <w:sz w:val="24"/>
      <w:szCs w:val="24"/>
    </w:rPr>
  </w:style>
  <w:style w:type="character" w:customStyle="1" w:styleId="10">
    <w:name w:val="页眉 Char"/>
    <w:basedOn w:val="7"/>
    <w:link w:val="5"/>
    <w:locked/>
    <w:uiPriority w:val="99"/>
    <w:rPr>
      <w:rFonts w:ascii="Tahoma" w:hAnsi="Tahoma" w:cs="Times New Roman"/>
      <w:sz w:val="18"/>
      <w:szCs w:val="18"/>
    </w:rPr>
  </w:style>
  <w:style w:type="character" w:customStyle="1" w:styleId="11">
    <w:name w:val="页脚 Char"/>
    <w:basedOn w:val="7"/>
    <w:link w:val="4"/>
    <w:locked/>
    <w:uiPriority w:val="99"/>
    <w:rPr>
      <w:rFonts w:ascii="Tahoma" w:hAnsi="Tahoma" w:cs="Times New Roman"/>
      <w:sz w:val="18"/>
      <w:szCs w:val="18"/>
    </w:rPr>
  </w:style>
  <w:style w:type="character" w:customStyle="1" w:styleId="12">
    <w:name w:val="正文文本缩进 2 Char"/>
    <w:basedOn w:val="7"/>
    <w:link w:val="3"/>
    <w:locked/>
    <w:uiPriority w:val="99"/>
    <w:rPr>
      <w:rFonts w:ascii="仿宋_GB2312" w:hAnsi="Times New Roman" w:eastAsia="仿宋_GB2312"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55D216-F350-4E26-B2B9-E24DC94F1592}">
  <ds:schemaRefs/>
</ds:datastoreItem>
</file>

<file path=docProps/app.xml><?xml version="1.0" encoding="utf-8"?>
<Properties xmlns="http://schemas.openxmlformats.org/officeDocument/2006/extended-properties" xmlns:vt="http://schemas.openxmlformats.org/officeDocument/2006/docPropsVTypes">
  <Template>Normal</Template>
  <Pages>9</Pages>
  <Words>2672</Words>
  <Characters>2904</Characters>
  <Lines>22</Lines>
  <Paragraphs>6</Paragraphs>
  <TotalTime>336</TotalTime>
  <ScaleCrop>false</ScaleCrop>
  <LinksUpToDate>false</LinksUpToDate>
  <CharactersWithSpaces>3050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2020-03-26T08:46:00Z</dcterms:created>
  <dc:creator>Administrator</dc:creator>
  <cp:lastModifiedBy>admin</cp:lastModifiedBy>
  <cp:lastPrinted>2020-09-02T07:11:00Z</cp:lastPrinted>
  <dcterms:modified xsi:type="dcterms:W3CDTF">2022-10-13T07:17:21Z</dcterms:modified>
  <dc:title>岳麓区20 19 年度部门（单位）项目支出</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70632CD106A2431CA21CD478DFC7E582</vt:lpwstr>
  </property>
</Properties>
</file>