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240" w:after="240"/>
        <w:jc w:val="center"/>
        <w:rPr>
          <w:spacing w:val="-10"/>
          <w:sz w:val="44"/>
          <w:szCs w:val="44"/>
        </w:rPr>
      </w:pPr>
      <w:r>
        <w:rPr>
          <w:rFonts w:hint="eastAsia"/>
          <w:spacing w:val="-10"/>
          <w:sz w:val="44"/>
          <w:szCs w:val="44"/>
        </w:rPr>
        <w:t>2021年度部门整体支出绩效评价报告</w:t>
      </w:r>
    </w:p>
    <w:p>
      <w:pPr>
        <w:shd w:val="clear" w:color="auto" w:fill="FFFFFF"/>
        <w:spacing w:before="240" w:after="240"/>
        <w:jc w:val="center"/>
        <w:rPr>
          <w:rFonts w:hint="eastAsia"/>
          <w:spacing w:val="-10"/>
          <w:sz w:val="44"/>
          <w:szCs w:val="44"/>
        </w:rPr>
      </w:pPr>
      <w:r>
        <w:rPr>
          <w:rFonts w:hint="eastAsia"/>
          <w:spacing w:val="-10"/>
          <w:sz w:val="44"/>
          <w:szCs w:val="44"/>
        </w:rPr>
        <w:t xml:space="preserve"> </w:t>
      </w:r>
    </w:p>
    <w:p>
      <w:pPr>
        <w:shd w:val="clear" w:color="auto" w:fill="FFFFFF"/>
        <w:spacing w:before="240" w:after="240"/>
        <w:jc w:val="center"/>
        <w:rPr>
          <w:rFonts w:hint="eastAsia"/>
          <w:spacing w:val="-10"/>
          <w:sz w:val="44"/>
          <w:szCs w:val="44"/>
        </w:rPr>
      </w:pPr>
      <w:r>
        <w:rPr>
          <w:rFonts w:hint="eastAsia"/>
          <w:spacing w:val="-10"/>
          <w:sz w:val="44"/>
          <w:szCs w:val="44"/>
        </w:rPr>
        <w:t xml:space="preserve"> </w:t>
      </w:r>
    </w:p>
    <w:p>
      <w:pPr>
        <w:shd w:val="clear" w:color="auto" w:fill="FFFFFF"/>
        <w:spacing w:before="240" w:after="240"/>
        <w:rPr>
          <w:rFonts w:hint="eastAsia"/>
          <w:spacing w:val="-10"/>
          <w:sz w:val="44"/>
          <w:szCs w:val="44"/>
        </w:rPr>
      </w:pPr>
      <w:r>
        <w:rPr>
          <w:rFonts w:hint="eastAsia"/>
          <w:spacing w:val="-10"/>
          <w:sz w:val="44"/>
          <w:szCs w:val="44"/>
        </w:rPr>
        <w:t xml:space="preserve"> </w:t>
      </w:r>
    </w:p>
    <w:p>
      <w:pPr>
        <w:shd w:val="clear" w:color="auto" w:fill="FFFFFF"/>
        <w:spacing w:before="240" w:after="240"/>
        <w:rPr>
          <w:rFonts w:hint="eastAsia"/>
          <w:spacing w:val="-10"/>
          <w:sz w:val="44"/>
          <w:szCs w:val="44"/>
        </w:rPr>
      </w:pPr>
      <w:r>
        <w:rPr>
          <w:rFonts w:hint="eastAsia"/>
          <w:spacing w:val="-10"/>
          <w:sz w:val="44"/>
          <w:szCs w:val="44"/>
        </w:rPr>
        <w:t xml:space="preserve"> </w:t>
      </w:r>
    </w:p>
    <w:p>
      <w:pPr>
        <w:shd w:val="clear" w:color="auto" w:fill="FFFFFF"/>
        <w:spacing w:before="240" w:after="240"/>
        <w:rPr>
          <w:rFonts w:hint="eastAsia"/>
          <w:spacing w:val="-10"/>
          <w:sz w:val="44"/>
          <w:szCs w:val="44"/>
        </w:rPr>
      </w:pPr>
      <w:r>
        <w:rPr>
          <w:rFonts w:hint="eastAsia"/>
          <w:spacing w:val="-10"/>
          <w:sz w:val="44"/>
          <w:szCs w:val="44"/>
        </w:rPr>
        <w:t xml:space="preserve"> </w:t>
      </w:r>
    </w:p>
    <w:p>
      <w:pPr>
        <w:spacing w:before="130"/>
        <w:rPr>
          <w:rFonts w:hint="eastAsia"/>
          <w:spacing w:val="-10"/>
          <w:sz w:val="44"/>
          <w:szCs w:val="44"/>
        </w:rPr>
      </w:pPr>
      <w:r>
        <w:rPr>
          <w:rFonts w:hint="eastAsia"/>
          <w:spacing w:val="-10"/>
          <w:sz w:val="44"/>
          <w:szCs w:val="44"/>
        </w:rPr>
        <w:t xml:space="preserve"> </w:t>
      </w:r>
    </w:p>
    <w:p>
      <w:pPr>
        <w:spacing w:before="130"/>
        <w:jc w:val="center"/>
        <w:rPr>
          <w:rFonts w:hint="eastAsia" w:cs="幼圆"/>
          <w:sz w:val="32"/>
          <w:szCs w:val="32"/>
        </w:rPr>
      </w:pPr>
      <w:r>
        <w:rPr>
          <w:rFonts w:hint="eastAsia" w:cs="幼圆"/>
          <w:spacing w:val="-19"/>
          <w:sz w:val="32"/>
          <w:szCs w:val="32"/>
        </w:rPr>
        <w:t>单位名称(盖章) :</w:t>
      </w:r>
      <w:r>
        <w:rPr>
          <w:rFonts w:hint="eastAsia"/>
          <w:spacing w:val="-10"/>
          <w:sz w:val="32"/>
          <w:szCs w:val="32"/>
        </w:rPr>
        <w:t xml:space="preserve"> 长沙市生态环境局岳麓分局</w:t>
      </w:r>
    </w:p>
    <w:p>
      <w:pPr>
        <w:rPr>
          <w:rFonts w:hint="eastAsia" w:ascii="Arial"/>
        </w:rPr>
      </w:pPr>
      <w:r>
        <w:rPr>
          <w:rFonts w:hint="eastAsia" w:ascii="Arial"/>
        </w:rPr>
        <w:t xml:space="preserve"> </w:t>
      </w:r>
    </w:p>
    <w:p>
      <w:pPr>
        <w:rPr>
          <w:rFonts w:hint="eastAsia" w:ascii="Arial"/>
        </w:rPr>
      </w:pPr>
      <w:r>
        <w:rPr>
          <w:rFonts w:ascii="Arial"/>
        </w:rPr>
        <w:t xml:space="preserve"> </w:t>
      </w:r>
    </w:p>
    <w:p>
      <w:pPr>
        <w:rPr>
          <w:rFonts w:ascii="Arial"/>
        </w:rPr>
      </w:pPr>
      <w:r>
        <w:rPr>
          <w:rFonts w:ascii="Arial"/>
        </w:rPr>
        <w:t xml:space="preserve"> </w:t>
      </w:r>
    </w:p>
    <w:p>
      <w:pPr>
        <w:rPr>
          <w:rFonts w:ascii="Arial"/>
        </w:rPr>
      </w:pPr>
      <w:r>
        <w:rPr>
          <w:rFonts w:ascii="Arial"/>
        </w:rPr>
        <w:t xml:space="preserve"> </w:t>
      </w:r>
    </w:p>
    <w:p>
      <w:pPr>
        <w:rPr>
          <w:rFonts w:ascii="Arial"/>
        </w:rPr>
      </w:pPr>
      <w:r>
        <w:rPr>
          <w:rFonts w:ascii="Arial"/>
        </w:rPr>
        <w:t xml:space="preserve"> </w:t>
      </w:r>
    </w:p>
    <w:p>
      <w:pPr>
        <w:rPr>
          <w:rFonts w:ascii="Arial"/>
        </w:rPr>
      </w:pPr>
      <w:r>
        <w:rPr>
          <w:rFonts w:ascii="Arial"/>
        </w:rPr>
        <w:t xml:space="preserve"> </w:t>
      </w:r>
    </w:p>
    <w:p>
      <w:pPr>
        <w:rPr>
          <w:rFonts w:ascii="Arial"/>
        </w:rPr>
      </w:pPr>
      <w:r>
        <w:rPr>
          <w:rFonts w:ascii="Arial"/>
        </w:rPr>
        <w:t xml:space="preserve"> </w:t>
      </w:r>
    </w:p>
    <w:p>
      <w:pPr>
        <w:rPr>
          <w:rFonts w:ascii="Arial"/>
        </w:rPr>
      </w:pPr>
      <w:r>
        <w:rPr>
          <w:rFonts w:ascii="Arial"/>
        </w:rPr>
        <w:t xml:space="preserve"> </w:t>
      </w:r>
    </w:p>
    <w:p>
      <w:pPr>
        <w:spacing w:before="111"/>
        <w:ind w:firstLine="3409"/>
        <w:rPr>
          <w:rFonts w:ascii="仿宋" w:hAnsi="仿宋" w:eastAsia="仿宋"/>
          <w:sz w:val="34"/>
          <w:szCs w:val="34"/>
        </w:rPr>
      </w:pPr>
      <w:r>
        <w:rPr>
          <w:rFonts w:hint="eastAsia" w:ascii="仿宋" w:hAnsi="仿宋" w:eastAsia="仿宋"/>
          <w:spacing w:val="-3"/>
          <w:sz w:val="34"/>
          <w:szCs w:val="34"/>
        </w:rPr>
        <w:t>(此页为封面)</w:t>
      </w:r>
    </w:p>
    <w:p>
      <w:pPr>
        <w:spacing w:line="273" w:lineRule="auto"/>
        <w:rPr>
          <w:rFonts w:hint="eastAsia" w:ascii="Arial"/>
        </w:rPr>
      </w:pPr>
      <w:r>
        <w:rPr>
          <w:rFonts w:hint="eastAsia" w:ascii="Arial"/>
        </w:rPr>
        <w:t xml:space="preserve"> </w:t>
      </w:r>
    </w:p>
    <w:p>
      <w:pPr>
        <w:shd w:val="clear" w:color="auto" w:fill="FFFFFF"/>
        <w:spacing w:before="240" w:after="240"/>
        <w:rPr>
          <w:rFonts w:hint="eastAsia"/>
          <w:spacing w:val="-10"/>
          <w:sz w:val="44"/>
          <w:szCs w:val="44"/>
        </w:rPr>
      </w:pPr>
      <w:r>
        <w:rPr>
          <w:rFonts w:hint="eastAsia"/>
          <w:spacing w:val="-10"/>
          <w:sz w:val="44"/>
          <w:szCs w:val="44"/>
        </w:rPr>
        <w:t xml:space="preserve"> </w:t>
      </w:r>
    </w:p>
    <w:p>
      <w:pPr>
        <w:spacing w:line="273" w:lineRule="auto"/>
        <w:rPr>
          <w:rFonts w:hint="eastAsia" w:ascii="Arial"/>
        </w:rPr>
      </w:pPr>
      <w:r>
        <w:rPr>
          <w:rFonts w:hint="eastAsia" w:ascii="Arial"/>
        </w:rPr>
        <w:t xml:space="preserve"> </w:t>
      </w:r>
    </w:p>
    <w:p>
      <w:pPr>
        <w:spacing w:line="273" w:lineRule="auto"/>
        <w:rPr>
          <w:rFonts w:hint="eastAsia" w:ascii="Arial"/>
        </w:rPr>
      </w:pPr>
      <w:r>
        <w:rPr>
          <w:rFonts w:ascii="Arial"/>
        </w:rPr>
        <w:t xml:space="preserve"> </w:t>
      </w:r>
    </w:p>
    <w:p>
      <w:pPr>
        <w:spacing w:line="273" w:lineRule="auto"/>
        <w:rPr>
          <w:rFonts w:ascii="Arial"/>
        </w:rPr>
      </w:pPr>
      <w:r>
        <w:rPr>
          <w:rFonts w:ascii="Arial"/>
        </w:rPr>
        <w:t xml:space="preserve"> </w:t>
      </w:r>
    </w:p>
    <w:p>
      <w:pPr>
        <w:spacing w:line="273" w:lineRule="auto"/>
        <w:rPr>
          <w:rFonts w:ascii="Arial"/>
        </w:rPr>
      </w:pPr>
      <w:r>
        <w:rPr>
          <w:rFonts w:ascii="Arial"/>
        </w:rPr>
        <w:t xml:space="preserve"> </w:t>
      </w:r>
    </w:p>
    <w:p>
      <w:pPr>
        <w:spacing w:before="104"/>
        <w:ind w:firstLine="471" w:firstLineChars="150"/>
        <w:rPr>
          <w:rFonts w:ascii="黑体" w:hAnsi="黑体" w:eastAsia="黑体"/>
          <w:spacing w:val="-3"/>
          <w:sz w:val="32"/>
          <w:szCs w:val="32"/>
        </w:rPr>
      </w:pPr>
      <w:r>
        <w:rPr>
          <w:rFonts w:hint="eastAsia" w:ascii="黑体" w:hAnsi="黑体" w:eastAsia="黑体"/>
          <w:spacing w:val="-3"/>
          <w:sz w:val="32"/>
          <w:szCs w:val="32"/>
        </w:rPr>
        <w:t xml:space="preserve"> </w:t>
      </w:r>
    </w:p>
    <w:p>
      <w:pPr>
        <w:spacing w:before="104"/>
        <w:ind w:firstLine="471" w:firstLineChars="150"/>
        <w:rPr>
          <w:rFonts w:hint="eastAsia" w:ascii="黑体" w:hAnsi="黑体" w:eastAsia="黑体"/>
          <w:sz w:val="32"/>
          <w:szCs w:val="32"/>
        </w:rPr>
      </w:pPr>
      <w:r>
        <w:rPr>
          <w:rFonts w:hint="eastAsia" w:ascii="黑体" w:hAnsi="黑体" w:eastAsia="黑体"/>
          <w:spacing w:val="-3"/>
          <w:sz w:val="32"/>
          <w:szCs w:val="32"/>
        </w:rPr>
        <w:t>一、部门概况</w:t>
      </w:r>
    </w:p>
    <w:p>
      <w:pPr>
        <w:spacing w:before="193" w:line="360" w:lineRule="auto"/>
        <w:ind w:firstLine="516" w:firstLineChars="150"/>
        <w:rPr>
          <w:rFonts w:hint="eastAsia" w:ascii="楷体" w:hAnsi="楷体" w:eastAsia="楷体"/>
          <w:spacing w:val="12"/>
          <w:sz w:val="32"/>
          <w:szCs w:val="32"/>
        </w:rPr>
      </w:pPr>
      <w:r>
        <w:rPr>
          <w:rFonts w:hint="eastAsia" w:ascii="楷体" w:hAnsi="楷体" w:eastAsia="楷体"/>
          <w:spacing w:val="12"/>
          <w:sz w:val="32"/>
          <w:szCs w:val="32"/>
        </w:rPr>
        <w:t>(一)</w:t>
      </w:r>
      <w:r>
        <w:rPr>
          <w:rFonts w:hint="eastAsia" w:ascii="楷体" w:hAnsi="楷体" w:eastAsia="楷体"/>
          <w:spacing w:val="54"/>
          <w:sz w:val="32"/>
          <w:szCs w:val="32"/>
        </w:rPr>
        <w:t xml:space="preserve"> </w:t>
      </w:r>
      <w:r>
        <w:rPr>
          <w:rFonts w:hint="eastAsia" w:ascii="楷体" w:hAnsi="楷体" w:eastAsia="楷体"/>
          <w:spacing w:val="12"/>
          <w:sz w:val="32"/>
          <w:szCs w:val="32"/>
        </w:rPr>
        <w:t>部门(单位)</w:t>
      </w:r>
      <w:r>
        <w:rPr>
          <w:rFonts w:hint="eastAsia" w:ascii="楷体" w:hAnsi="楷体" w:eastAsia="楷体"/>
          <w:spacing w:val="43"/>
          <w:sz w:val="32"/>
          <w:szCs w:val="32"/>
        </w:rPr>
        <w:t xml:space="preserve"> </w:t>
      </w:r>
      <w:r>
        <w:rPr>
          <w:rFonts w:hint="eastAsia" w:ascii="楷体" w:hAnsi="楷体" w:eastAsia="楷体"/>
          <w:spacing w:val="12"/>
          <w:sz w:val="32"/>
          <w:szCs w:val="32"/>
        </w:rPr>
        <w:t>基本情况.</w:t>
      </w:r>
    </w:p>
    <w:p>
      <w:pPr>
        <w:pStyle w:val="3"/>
        <w:spacing w:line="360" w:lineRule="auto"/>
        <w:ind w:firstLine="640" w:firstLineChars="200"/>
        <w:rPr>
          <w:rFonts w:hint="eastAsia" w:ascii="仿宋" w:hAnsi="仿宋" w:eastAsia="仿宋" w:cs="Times New Roman"/>
          <w:sz w:val="32"/>
          <w:szCs w:val="32"/>
        </w:rPr>
      </w:pPr>
      <w:r>
        <w:rPr>
          <w:rFonts w:hint="eastAsia" w:ascii="仿宋" w:hAnsi="仿宋" w:eastAsia="仿宋" w:cs="宋体"/>
          <w:kern w:val="0"/>
          <w:sz w:val="32"/>
          <w:szCs w:val="32"/>
        </w:rPr>
        <w:t>长沙市生态环境局岳麓分局为财政全额拨款的行政单位（正科级）,现有内设机构5个，分别是办公室、综合协调科、党建人事（纪检监察）和宣教科、生态环境管理科、行政审批和政务服务（法制）科；接受分局领导的机构一个（事业单位）:长沙市岳麓生态环境监测站(实职副科级)。</w:t>
      </w:r>
      <w:r>
        <w:rPr>
          <w:rFonts w:hint="eastAsia" w:ascii="仿宋" w:hAnsi="仿宋" w:eastAsia="仿宋" w:cs="Times New Roman"/>
          <w:sz w:val="32"/>
          <w:szCs w:val="32"/>
        </w:rPr>
        <w:t>本单位执行行政单位会计制度。</w:t>
      </w:r>
    </w:p>
    <w:p>
      <w:pPr>
        <w:pStyle w:val="3"/>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现有编制人数 27人，目前实有在职在编人员23人，离退休人员 12人。</w:t>
      </w:r>
    </w:p>
    <w:p>
      <w:pPr>
        <w:spacing w:before="221" w:line="360" w:lineRule="auto"/>
        <w:ind w:firstLine="688" w:firstLineChars="200"/>
        <w:rPr>
          <w:rFonts w:hint="eastAsia" w:ascii="楷体" w:hAnsi="楷体" w:eastAsia="楷体"/>
          <w:spacing w:val="12"/>
          <w:sz w:val="32"/>
          <w:szCs w:val="32"/>
        </w:rPr>
      </w:pPr>
      <w:r>
        <w:rPr>
          <w:rFonts w:hint="eastAsia" w:ascii="楷体" w:hAnsi="楷体" w:eastAsia="楷体"/>
          <w:spacing w:val="12"/>
          <w:sz w:val="32"/>
          <w:szCs w:val="32"/>
        </w:rPr>
        <w:t>(二) 部门(单位) 整体支出规模、使用方向和主要内容、涉及范围等。</w:t>
      </w:r>
    </w:p>
    <w:p>
      <w:pPr>
        <w:pStyle w:val="3"/>
        <w:spacing w:line="360" w:lineRule="auto"/>
        <w:ind w:firstLine="800" w:firstLineChars="250"/>
        <w:rPr>
          <w:rFonts w:hint="eastAsia" w:ascii="仿宋" w:hAnsi="仿宋" w:eastAsia="仿宋"/>
          <w:sz w:val="32"/>
          <w:szCs w:val="32"/>
        </w:rPr>
      </w:pPr>
      <w:r>
        <w:rPr>
          <w:rFonts w:hint="eastAsia" w:ascii="仿宋" w:hAnsi="仿宋" w:eastAsia="仿宋"/>
          <w:sz w:val="32"/>
          <w:szCs w:val="32"/>
        </w:rPr>
        <w:t>2021年收入总计2548.74万元，其中财政拨款收入713.75万元，非同级财政拨款收入1834.99万元。2021年决算支出为2548.74万元，年末指标结余0万元。</w:t>
      </w:r>
    </w:p>
    <w:p>
      <w:pPr>
        <w:pStyle w:val="3"/>
        <w:spacing w:line="360" w:lineRule="auto"/>
        <w:ind w:firstLine="200"/>
        <w:rPr>
          <w:rFonts w:hint="eastAsia" w:ascii="仿宋_GB2312" w:hAnsi="Times New Roman" w:eastAsia="仿宋_GB2312" w:cs="Times New Roman"/>
          <w:sz w:val="28"/>
          <w:szCs w:val="28"/>
        </w:rPr>
      </w:pPr>
      <w:r>
        <w:rPr>
          <w:rFonts w:hint="eastAsia" w:ascii="仿宋" w:hAnsi="仿宋" w:eastAsia="仿宋"/>
          <w:sz w:val="32"/>
          <w:szCs w:val="32"/>
        </w:rPr>
        <w:t xml:space="preserve">    2021年决算总支出2548.74万元，其中工资福利支出525.8万元、商品和服务支出157.8万元、对个人和家庭的补助30.01万元、资本性支出0.15万元，非同级财政拨款支出1834.99万元。上述决算支出中基本支出1302.2万元，项目支出1246.54万元。</w:t>
      </w:r>
    </w:p>
    <w:p>
      <w:pPr>
        <w:pStyle w:val="3"/>
        <w:spacing w:line="360" w:lineRule="auto"/>
        <w:ind w:firstLine="863" w:firstLineChars="250"/>
        <w:rPr>
          <w:rFonts w:hint="eastAsia" w:ascii="黑体" w:hAnsi="黑体" w:eastAsia="黑体" w:cs="楷体"/>
          <w:b/>
          <w:bCs/>
          <w:spacing w:val="12"/>
          <w:sz w:val="32"/>
          <w:szCs w:val="32"/>
        </w:rPr>
      </w:pPr>
      <w:r>
        <w:rPr>
          <w:rFonts w:hint="eastAsia" w:ascii="黑体" w:hAnsi="黑体" w:eastAsia="黑体" w:cs="楷体"/>
          <w:b/>
          <w:bCs/>
          <w:spacing w:val="12"/>
          <w:sz w:val="32"/>
          <w:szCs w:val="32"/>
        </w:rPr>
        <w:t xml:space="preserve">二、一般公共预算支出情况 </w:t>
      </w:r>
    </w:p>
    <w:p>
      <w:pPr>
        <w:pStyle w:val="3"/>
        <w:spacing w:line="360" w:lineRule="auto"/>
        <w:ind w:firstLine="860" w:firstLineChars="250"/>
        <w:rPr>
          <w:rFonts w:hint="eastAsia" w:ascii="楷体" w:hAnsi="楷体" w:eastAsia="楷体"/>
          <w:spacing w:val="12"/>
          <w:kern w:val="0"/>
          <w:sz w:val="32"/>
          <w:szCs w:val="32"/>
        </w:rPr>
      </w:pPr>
      <w:r>
        <w:rPr>
          <w:rFonts w:hint="eastAsia" w:ascii="楷体" w:hAnsi="楷体" w:eastAsia="楷体"/>
          <w:spacing w:val="12"/>
          <w:kern w:val="0"/>
          <w:sz w:val="32"/>
          <w:szCs w:val="32"/>
        </w:rPr>
        <w:t>（一）基本支出</w:t>
      </w:r>
    </w:p>
    <w:p>
      <w:pPr>
        <w:pStyle w:val="3"/>
        <w:spacing w:line="360" w:lineRule="auto"/>
        <w:ind w:firstLine="640" w:firstLineChars="200"/>
        <w:rPr>
          <w:rFonts w:hint="eastAsia" w:ascii="仿宋" w:hAnsi="仿宋" w:eastAsia="仿宋"/>
          <w:sz w:val="32"/>
          <w:szCs w:val="32"/>
        </w:rPr>
      </w:pPr>
      <w:r>
        <w:rPr>
          <w:rFonts w:hint="eastAsia" w:ascii="仿宋" w:hAnsi="仿宋" w:eastAsia="仿宋"/>
          <w:sz w:val="32"/>
          <w:szCs w:val="32"/>
        </w:rPr>
        <w:t>基本支出1302.2万元，系为保障单位机构正常运转、完成日常工作任务而发生的各项支出，主要包括基本工资、津贴补贴等人员经费以及办公费、印刷费、工会经费、其它商品服务支出等日常公用经费。</w:t>
      </w:r>
    </w:p>
    <w:p>
      <w:pPr>
        <w:pStyle w:val="3"/>
        <w:spacing w:line="360" w:lineRule="auto"/>
        <w:ind w:firstLine="640" w:firstLineChars="200"/>
        <w:rPr>
          <w:rFonts w:hint="eastAsia" w:ascii="仿宋" w:hAnsi="仿宋" w:eastAsia="仿宋"/>
          <w:sz w:val="32"/>
          <w:szCs w:val="32"/>
        </w:rPr>
      </w:pPr>
      <w:r>
        <w:rPr>
          <w:rFonts w:hint="eastAsia" w:ascii="仿宋" w:hAnsi="仿宋" w:eastAsia="仿宋"/>
          <w:sz w:val="32"/>
          <w:szCs w:val="32"/>
        </w:rPr>
        <w:t>2021年无“三公”经费支出。</w:t>
      </w:r>
    </w:p>
    <w:p>
      <w:pPr>
        <w:ind w:firstLine="624" w:firstLineChars="200"/>
        <w:rPr>
          <w:rFonts w:hint="eastAsia" w:ascii="楷体" w:hAnsi="楷体" w:eastAsia="楷体"/>
          <w:sz w:val="32"/>
          <w:szCs w:val="32"/>
        </w:rPr>
      </w:pPr>
      <w:r>
        <w:rPr>
          <w:rFonts w:hint="eastAsia" w:ascii="楷体" w:hAnsi="楷体" w:eastAsia="楷体"/>
          <w:spacing w:val="-4"/>
          <w:sz w:val="32"/>
          <w:szCs w:val="32"/>
        </w:rPr>
        <w:t>(二)</w:t>
      </w:r>
      <w:r>
        <w:rPr>
          <w:rFonts w:hint="eastAsia" w:ascii="楷体" w:hAnsi="楷体" w:eastAsia="楷体"/>
          <w:spacing w:val="25"/>
          <w:sz w:val="32"/>
          <w:szCs w:val="32"/>
        </w:rPr>
        <w:t xml:space="preserve"> </w:t>
      </w:r>
      <w:r>
        <w:rPr>
          <w:rFonts w:hint="eastAsia" w:ascii="楷体" w:hAnsi="楷体" w:eastAsia="楷体"/>
          <w:spacing w:val="-4"/>
          <w:sz w:val="32"/>
          <w:szCs w:val="32"/>
        </w:rPr>
        <w:t>项目支出</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1.项目资金(包括财政资金、自筹资金等)</w:t>
      </w:r>
      <w:r>
        <w:rPr>
          <w:rFonts w:hint="eastAsia" w:ascii="仿宋" w:hAnsi="仿宋" w:eastAsia="仿宋"/>
          <w:spacing w:val="32"/>
          <w:position w:val="22"/>
          <w:sz w:val="32"/>
          <w:szCs w:val="32"/>
        </w:rPr>
        <w:t xml:space="preserve"> </w:t>
      </w:r>
      <w:r>
        <w:rPr>
          <w:rFonts w:hint="eastAsia" w:ascii="仿宋" w:hAnsi="仿宋" w:eastAsia="仿宋"/>
          <w:spacing w:val="-3"/>
          <w:position w:val="22"/>
          <w:sz w:val="32"/>
          <w:szCs w:val="32"/>
        </w:rPr>
        <w:t>安排落实、总投入等情况分析。</w:t>
      </w:r>
    </w:p>
    <w:p>
      <w:pPr>
        <w:spacing w:before="1" w:line="360" w:lineRule="auto"/>
        <w:ind w:firstLine="628" w:firstLineChars="200"/>
        <w:rPr>
          <w:rFonts w:hint="eastAsia" w:ascii="仿宋" w:hAnsi="仿宋" w:eastAsia="仿宋"/>
          <w:spacing w:val="-8"/>
          <w:sz w:val="32"/>
          <w:szCs w:val="32"/>
        </w:rPr>
      </w:pPr>
      <w:r>
        <w:rPr>
          <w:rFonts w:hint="eastAsia" w:ascii="仿宋" w:hAnsi="仿宋" w:eastAsia="仿宋"/>
          <w:spacing w:val="-3"/>
          <w:position w:val="22"/>
          <w:sz w:val="32"/>
          <w:szCs w:val="32"/>
        </w:rPr>
        <w:t>本年度财政预算安排项目资金共计1246.54万元，总投入1246.54万元（资金到位率100%），其中：环境保护管理事务130.42万元，环境监测与监察197.42万元，污染防治918.7万元，年度实际支出金额为1246.54万元，系单位为完成特定行政工作任务或事业发展目标而发生的支出，主要包括环保公益宣传及六五活动宣传经费、环境监测业务经费、环评专家评审费、监测外包经费、监测站实验室运行经费、燃气锅炉低氮改造补助资金、非道路移动机械编码上牌经费、非道路移动机械检测经费、执法监管车辆租赁费、监测能力建设经费等，支出项目包括：环境保护管理事务支出、环境监测与监察支出、污染防治支出等方面；年末无指标结余，资金使用合法合规。</w:t>
      </w:r>
    </w:p>
    <w:p>
      <w:pPr>
        <w:spacing w:before="195" w:line="360" w:lineRule="auto"/>
        <w:ind w:firstLine="640"/>
        <w:rPr>
          <w:rFonts w:hint="eastAsia" w:ascii="仿宋" w:hAnsi="仿宋" w:eastAsia="仿宋"/>
          <w:spacing w:val="3"/>
          <w:sz w:val="32"/>
          <w:szCs w:val="32"/>
        </w:rPr>
      </w:pPr>
      <w:r>
        <w:rPr>
          <w:rFonts w:hint="eastAsia" w:ascii="仿宋" w:hAnsi="仿宋" w:eastAsia="仿宋"/>
          <w:spacing w:val="3"/>
          <w:sz w:val="32"/>
          <w:szCs w:val="32"/>
        </w:rPr>
        <w:t>2.项目资金(主要指财政资金)</w:t>
      </w:r>
      <w:r>
        <w:rPr>
          <w:rFonts w:hint="eastAsia" w:ascii="仿宋" w:hAnsi="仿宋" w:eastAsia="仿宋"/>
          <w:spacing w:val="92"/>
          <w:sz w:val="32"/>
          <w:szCs w:val="32"/>
        </w:rPr>
        <w:t xml:space="preserve"> </w:t>
      </w:r>
      <w:r>
        <w:rPr>
          <w:rFonts w:hint="eastAsia" w:ascii="仿宋" w:hAnsi="仿宋" w:eastAsia="仿宋"/>
          <w:spacing w:val="3"/>
          <w:sz w:val="32"/>
          <w:szCs w:val="32"/>
        </w:rPr>
        <w:t>实际使用情况分析。</w:t>
      </w:r>
    </w:p>
    <w:p>
      <w:pPr>
        <w:spacing w:before="1"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根据《</w:t>
      </w:r>
      <w:r>
        <w:rPr>
          <w:rFonts w:hint="eastAsia" w:ascii="仿宋" w:hAnsi="仿宋" w:eastAsia="仿宋"/>
          <w:spacing w:val="-3"/>
          <w:position w:val="22"/>
          <w:sz w:val="32"/>
          <w:szCs w:val="32"/>
          <w:lang w:eastAsia="zh-CN"/>
        </w:rPr>
        <w:t>中华人民共和国</w:t>
      </w:r>
      <w:bookmarkStart w:id="0" w:name="_GoBack"/>
      <w:bookmarkEnd w:id="0"/>
      <w:r>
        <w:rPr>
          <w:rFonts w:hint="eastAsia" w:ascii="仿宋" w:hAnsi="仿宋" w:eastAsia="仿宋"/>
          <w:spacing w:val="-3"/>
          <w:position w:val="22"/>
          <w:sz w:val="32"/>
          <w:szCs w:val="32"/>
        </w:rPr>
        <w:t>会计法》、</w:t>
      </w:r>
      <w:r>
        <w:rPr>
          <w:rFonts w:hint="eastAsia" w:ascii="仿宋" w:hAnsi="仿宋" w:eastAsia="仿宋"/>
          <w:spacing w:val="-3"/>
          <w:position w:val="22"/>
          <w:sz w:val="32"/>
          <w:szCs w:val="32"/>
          <w:lang w:eastAsia="zh-CN"/>
        </w:rPr>
        <w:t>《中华人民共和国预算法》</w:t>
      </w:r>
      <w:r>
        <w:rPr>
          <w:rFonts w:hint="eastAsia" w:ascii="仿宋" w:hAnsi="仿宋" w:eastAsia="仿宋"/>
          <w:spacing w:val="-3"/>
          <w:position w:val="22"/>
          <w:sz w:val="32"/>
          <w:szCs w:val="32"/>
        </w:rPr>
        <w:t>、《行政单位会计制度》、中央八项规定和各级财政部门有关财务规章制度的要求，我局明确了项目审批权限及资金使用程序，资金预决算管理、资产购置与处置、财务监督等严格按照内控制度执行。2021年，我分局项目资金的来源主要是根据单位承担的工作任务由市、区两级财政统一安排。项目资金的使用严格遵守内控制度要求，依照项目开展前分局班子集体研究讨论，项目进行时专人跟踪实施，项目验收完成后按合同及时支付的程序执行。每笔项目资金的使用结合工作要求及绩效目标，做到了专款专用。2021年项目支出主要是用于环境保护宣传、非道路移动机械检测、环境执法监管监测、环评专家评审、监测站实验室运行、燃气锅炉低氮改造补助、非道路移动机械编码上牌、执法监管车辆租赁、监测能力建设等方面。</w:t>
      </w:r>
    </w:p>
    <w:p>
      <w:pPr>
        <w:spacing w:before="217" w:line="336" w:lineRule="auto"/>
        <w:ind w:right="97" w:firstLine="640"/>
        <w:rPr>
          <w:rFonts w:hint="eastAsia" w:ascii="仿宋" w:hAnsi="仿宋" w:eastAsia="仿宋"/>
          <w:spacing w:val="-10"/>
          <w:sz w:val="32"/>
          <w:szCs w:val="32"/>
        </w:rPr>
      </w:pPr>
      <w:r>
        <w:rPr>
          <w:rFonts w:hint="eastAsia" w:ascii="仿宋" w:hAnsi="仿宋" w:eastAsia="仿宋"/>
          <w:spacing w:val="-2"/>
          <w:sz w:val="32"/>
          <w:szCs w:val="32"/>
        </w:rPr>
        <w:t>3.项目资金管理情况分析,主要包括管理制度、办法的制定</w:t>
      </w:r>
      <w:r>
        <w:rPr>
          <w:rFonts w:hint="eastAsia" w:ascii="仿宋" w:hAnsi="仿宋" w:eastAsia="仿宋"/>
          <w:sz w:val="32"/>
          <w:szCs w:val="32"/>
        </w:rPr>
        <w:t xml:space="preserve"> </w:t>
      </w:r>
      <w:r>
        <w:rPr>
          <w:rFonts w:hint="eastAsia" w:ascii="仿宋" w:hAnsi="仿宋" w:eastAsia="仿宋"/>
          <w:spacing w:val="-10"/>
          <w:sz w:val="32"/>
          <w:szCs w:val="32"/>
        </w:rPr>
        <w:t>及执行情况。</w:t>
      </w:r>
    </w:p>
    <w:p>
      <w:pPr>
        <w:spacing w:line="360" w:lineRule="auto"/>
        <w:ind w:firstLine="628" w:firstLineChars="200"/>
        <w:outlineLvl w:val="0"/>
        <w:rPr>
          <w:rFonts w:hint="eastAsia" w:ascii="仿宋" w:hAnsi="仿宋" w:eastAsia="仿宋"/>
          <w:spacing w:val="-3"/>
          <w:position w:val="22"/>
          <w:sz w:val="32"/>
          <w:szCs w:val="32"/>
        </w:rPr>
      </w:pPr>
      <w:r>
        <w:rPr>
          <w:rFonts w:hint="eastAsia" w:ascii="仿宋" w:hAnsi="仿宋" w:eastAsia="仿宋"/>
          <w:spacing w:val="-3"/>
          <w:position w:val="22"/>
          <w:sz w:val="32"/>
          <w:szCs w:val="32"/>
        </w:rPr>
        <w:t>项目经费严格按照新预算法、财政相关文件、单位内控制度，依照项目预算安排和相关合同要求有序开支，支出过程均按照厉行节约的原则，做到专款专用、合法合规将每笔资金用到实处。</w:t>
      </w:r>
    </w:p>
    <w:p>
      <w:pPr>
        <w:pStyle w:val="5"/>
        <w:spacing w:after="0" w:line="360" w:lineRule="auto"/>
        <w:ind w:left="0" w:leftChars="0" w:firstLine="628"/>
        <w:rPr>
          <w:rFonts w:hint="eastAsia" w:ascii="仿宋" w:hAnsi="仿宋" w:eastAsia="仿宋"/>
          <w:spacing w:val="-3"/>
          <w:position w:val="22"/>
          <w:sz w:val="32"/>
          <w:szCs w:val="32"/>
        </w:rPr>
      </w:pPr>
      <w:r>
        <w:rPr>
          <w:rFonts w:hint="eastAsia" w:ascii="仿宋" w:hAnsi="仿宋" w:eastAsia="仿宋"/>
          <w:spacing w:val="-3"/>
          <w:position w:val="22"/>
          <w:sz w:val="32"/>
          <w:szCs w:val="32"/>
        </w:rPr>
        <w:t>一是合理编制绩效目标。结合2021年工作计划，在进行研究、论证基础、发展趋势等内容，制定了切实可行、可量化、可考评的年度目标。资金覆盖率和项目覆盖率符合年度预算布置要求；</w:t>
      </w:r>
    </w:p>
    <w:p>
      <w:pPr>
        <w:pStyle w:val="5"/>
        <w:spacing w:after="0" w:line="360" w:lineRule="auto"/>
        <w:ind w:left="0" w:leftChars="0" w:firstLine="628"/>
        <w:rPr>
          <w:rFonts w:hint="eastAsia" w:ascii="仿宋" w:hAnsi="仿宋" w:eastAsia="仿宋"/>
          <w:spacing w:val="-3"/>
          <w:position w:val="22"/>
          <w:sz w:val="32"/>
          <w:szCs w:val="32"/>
        </w:rPr>
      </w:pPr>
      <w:r>
        <w:rPr>
          <w:rFonts w:hint="eastAsia" w:ascii="仿宋" w:hAnsi="仿宋" w:eastAsia="仿宋"/>
          <w:spacing w:val="-3"/>
          <w:position w:val="22"/>
          <w:sz w:val="32"/>
          <w:szCs w:val="32"/>
        </w:rPr>
        <w:t>二是加强项目运行管理。本单位制定了专项资金管理办法，成立了单位内控领导小组，具体负责审核、监督各项财政支出。对使用财政资金的项目单位也要求制定相应的资金使用管理制度、会计监督制度、财务公开制度、财政资金监管定期报告制度、专项资金管理办法等管理制度，规范了项目资金的使用、审批及监管程序。</w:t>
      </w:r>
    </w:p>
    <w:p>
      <w:pPr>
        <w:spacing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三是开展绩效动态监控。按照要求定期开展支出绩效监控工作，及时收集汇总目标完成情况，发现严重偏差，及时反馈，采取有效措施，重点跟踪，及时纠偏，阶段性任务能按计划完成，全年性任务基本能够按序时进度执行，保证了年度目标任务的完成。</w:t>
      </w:r>
    </w:p>
    <w:p>
      <w:pPr>
        <w:spacing w:before="1"/>
        <w:ind w:firstLine="644"/>
        <w:outlineLvl w:val="0"/>
        <w:rPr>
          <w:rFonts w:hint="eastAsia" w:ascii="黑体" w:hAnsi="黑体" w:eastAsia="黑体"/>
          <w:sz w:val="32"/>
          <w:szCs w:val="32"/>
        </w:rPr>
      </w:pPr>
      <w:r>
        <w:rPr>
          <w:rFonts w:hint="eastAsia" w:ascii="黑体" w:hAnsi="黑体" w:eastAsia="黑体"/>
          <w:spacing w:val="-2"/>
          <w:sz w:val="32"/>
          <w:szCs w:val="32"/>
        </w:rPr>
        <w:t>三、部门项目组织实施情况</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(一)项目组织情况分析,主要包括项目招投标、调整、</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竣工验收等情况。</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根据《长沙市财政局关于开展2022年单位绩效自评工作的通知》(长财绩【2022】3号)，《长沙市生态环境局关于开展2022年绩效自评工作的通知》(长环【2022】9号)，本单位从项目立项、绩效目标、资金管理、财务信息质量以及项目经济社会效益等方面进行了绩效评价。按照工作内容、工作措施、工作时限和要达到的预期效果，进一步分解细化工作任务，使绩效评价指标与各科室工作任务紧合起来，推动各项工作落实。</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(二)项目管理情况分析,主要包括项目管理制度建设、 日常检查监督管理等情况。</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本单位制定了《岳麓区环境保护专项资金管理办法》，成立了单位内控领导小组负责审核、监督各项财政支出；对项目单位也要求制定相应的资金使用管理制度、会计监督制度、财务公开制度、财政资金监管定期报告制度、专项资金管理办法等管理制度，规范了项目资金的使用、审批及监管程序。在使用项目资金时，严格执行专项资金管理办法、工作制度和财务制度，不断提高资金的使用效率。同时对各项目资金的使用流程进行监督，定时检查项目资金使用情况，确保项目资金依法依规管理与使用，未发生专项资金的挤占、挪用、截流等违规现象。</w:t>
      </w:r>
    </w:p>
    <w:p>
      <w:pPr>
        <w:spacing w:before="1"/>
        <w:ind w:firstLine="644"/>
        <w:outlineLvl w:val="0"/>
        <w:rPr>
          <w:rFonts w:hint="eastAsia" w:ascii="黑体" w:hAnsi="黑体" w:eastAsia="黑体"/>
          <w:spacing w:val="-2"/>
          <w:sz w:val="32"/>
          <w:szCs w:val="32"/>
        </w:rPr>
      </w:pPr>
      <w:r>
        <w:rPr>
          <w:rFonts w:hint="eastAsia" w:ascii="黑体" w:hAnsi="黑体" w:eastAsia="黑体"/>
          <w:spacing w:val="-2"/>
          <w:sz w:val="32"/>
          <w:szCs w:val="32"/>
        </w:rPr>
        <w:t>四、资产管理情况</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（一）资产情况分析</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（1）分析资产总量、变动、构成情况。</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本单位期末流动资产及负债余额10.22万元，比年初数减少46.84万元，减少82.09%，主要是非同级财政拨款收入用于支付蓝天保卫战柴油车检测费及以前年度项目质保金等往来款项；非流动资产期末余额28.34万元，比年初数减少74.61万元，减少72.47%，变动主要原因：一是本年发生的固定资产折旧，二是本单位年初核销电脑两台，固定资产原值0.85万元，三是因单位垂改，原非独立二级机构环境监察大队调整到市生态环境执法局下属，相应固定资产划拨到执法局所有，导致本局固定资产原值减少148.39万元，占年初固定资产原值27.19%。</w:t>
      </w:r>
    </w:p>
    <w:tbl>
      <w:tblPr>
        <w:tblStyle w:val="6"/>
        <w:tblW w:w="8640" w:type="dxa"/>
        <w:tblInd w:w="96" w:type="dxa"/>
        <w:tblLayout w:type="autofit"/>
        <w:tblCellMar>
          <w:top w:w="0" w:type="dxa"/>
          <w:left w:w="108" w:type="dxa"/>
          <w:bottom w:w="0" w:type="dxa"/>
          <w:right w:w="108" w:type="dxa"/>
        </w:tblCellMar>
      </w:tblPr>
      <w:tblGrid>
        <w:gridCol w:w="3260"/>
        <w:gridCol w:w="1316"/>
        <w:gridCol w:w="960"/>
        <w:gridCol w:w="986"/>
        <w:gridCol w:w="1316"/>
        <w:gridCol w:w="986"/>
      </w:tblGrid>
      <w:tr>
        <w:tblPrEx>
          <w:tblCellMar>
            <w:top w:w="0" w:type="dxa"/>
            <w:left w:w="108" w:type="dxa"/>
            <w:bottom w:w="0" w:type="dxa"/>
            <w:right w:w="108" w:type="dxa"/>
          </w:tblCellMar>
        </w:tblPrEx>
        <w:trPr>
          <w:trHeight w:val="864" w:hRule="atLeast"/>
        </w:trPr>
        <w:tc>
          <w:tcPr>
            <w:tcW w:w="3260" w:type="dxa"/>
            <w:tcBorders>
              <w:top w:val="single" w:color="auto" w:sz="4" w:space="0"/>
              <w:left w:val="single" w:color="auto" w:sz="4" w:space="0"/>
              <w:bottom w:val="single" w:color="auto" w:sz="4" w:space="0"/>
              <w:right w:val="single" w:color="auto" w:sz="4" w:space="0"/>
            </w:tcBorders>
            <w:shd w:val="clear" w:color="auto" w:fill="D8D8D8"/>
            <w:vAlign w:val="center"/>
          </w:tcPr>
          <w:p>
            <w:pPr>
              <w:jc w:val="center"/>
              <w:rPr>
                <w:rFonts w:ascii="仿宋" w:hAnsi="仿宋" w:eastAsia="仿宋"/>
                <w:b/>
                <w:bCs/>
                <w:color w:val="000000"/>
                <w:sz w:val="22"/>
                <w:szCs w:val="22"/>
              </w:rPr>
            </w:pPr>
            <w:r>
              <w:rPr>
                <w:rFonts w:hint="eastAsia" w:ascii="仿宋" w:hAnsi="仿宋" w:eastAsia="仿宋"/>
                <w:b/>
                <w:bCs/>
                <w:color w:val="000000"/>
                <w:sz w:val="22"/>
                <w:szCs w:val="22"/>
              </w:rPr>
              <w:t>分类</w:t>
            </w:r>
          </w:p>
        </w:tc>
        <w:tc>
          <w:tcPr>
            <w:tcW w:w="1300" w:type="dxa"/>
            <w:tcBorders>
              <w:top w:val="single" w:color="auto" w:sz="4" w:space="0"/>
              <w:left w:val="nil"/>
              <w:bottom w:val="single" w:color="auto" w:sz="4" w:space="0"/>
              <w:right w:val="single" w:color="auto" w:sz="4" w:space="0"/>
            </w:tcBorders>
            <w:shd w:val="clear" w:color="auto" w:fill="D8D8D8"/>
            <w:vAlign w:val="center"/>
          </w:tcPr>
          <w:p>
            <w:pPr>
              <w:jc w:val="center"/>
              <w:rPr>
                <w:rFonts w:hint="eastAsia" w:ascii="仿宋" w:hAnsi="仿宋" w:eastAsia="仿宋"/>
                <w:b/>
                <w:bCs/>
                <w:color w:val="000000"/>
                <w:sz w:val="22"/>
                <w:szCs w:val="22"/>
                <w:lang w:eastAsia="zh-CN"/>
              </w:rPr>
            </w:pPr>
            <w:r>
              <w:rPr>
                <w:rFonts w:hint="eastAsia" w:ascii="仿宋" w:hAnsi="仿宋" w:eastAsia="仿宋"/>
                <w:b/>
                <w:bCs/>
                <w:color w:val="000000"/>
                <w:sz w:val="22"/>
                <w:szCs w:val="22"/>
              </w:rPr>
              <w:t>期初数</w:t>
            </w:r>
          </w:p>
          <w:p>
            <w:pPr>
              <w:jc w:val="center"/>
              <w:rPr>
                <w:rFonts w:ascii="仿宋" w:hAnsi="仿宋" w:eastAsia="仿宋"/>
                <w:b/>
                <w:bCs/>
                <w:color w:val="000000"/>
                <w:sz w:val="22"/>
                <w:szCs w:val="22"/>
              </w:rPr>
            </w:pPr>
            <w:r>
              <w:rPr>
                <w:rFonts w:hint="eastAsia" w:ascii="仿宋" w:hAnsi="仿宋" w:eastAsia="仿宋"/>
                <w:b/>
                <w:bCs/>
                <w:color w:val="000000"/>
                <w:sz w:val="22"/>
                <w:szCs w:val="22"/>
              </w:rPr>
              <w:t>（原值）</w:t>
            </w:r>
          </w:p>
        </w:tc>
        <w:tc>
          <w:tcPr>
            <w:tcW w:w="960" w:type="dxa"/>
            <w:tcBorders>
              <w:top w:val="single" w:color="auto" w:sz="4" w:space="0"/>
              <w:left w:val="nil"/>
              <w:bottom w:val="single" w:color="auto" w:sz="4" w:space="0"/>
              <w:right w:val="single" w:color="auto" w:sz="4" w:space="0"/>
            </w:tcBorders>
            <w:shd w:val="clear" w:color="auto" w:fill="D8D8D8"/>
            <w:vAlign w:val="center"/>
          </w:tcPr>
          <w:p>
            <w:pPr>
              <w:jc w:val="center"/>
              <w:rPr>
                <w:rFonts w:ascii="仿宋" w:hAnsi="仿宋" w:eastAsia="仿宋"/>
                <w:b/>
                <w:bCs/>
                <w:color w:val="000000"/>
                <w:sz w:val="22"/>
                <w:szCs w:val="22"/>
              </w:rPr>
            </w:pPr>
            <w:r>
              <w:rPr>
                <w:rFonts w:hint="eastAsia" w:ascii="仿宋" w:hAnsi="仿宋" w:eastAsia="仿宋"/>
                <w:b/>
                <w:bCs/>
                <w:color w:val="000000"/>
                <w:sz w:val="22"/>
                <w:szCs w:val="22"/>
              </w:rPr>
              <w:t>本期增加</w:t>
            </w:r>
          </w:p>
        </w:tc>
        <w:tc>
          <w:tcPr>
            <w:tcW w:w="880" w:type="dxa"/>
            <w:tcBorders>
              <w:top w:val="single" w:color="auto" w:sz="4" w:space="0"/>
              <w:left w:val="nil"/>
              <w:bottom w:val="single" w:color="auto" w:sz="4" w:space="0"/>
              <w:right w:val="single" w:color="auto" w:sz="4" w:space="0"/>
            </w:tcBorders>
            <w:shd w:val="clear" w:color="auto" w:fill="D8D8D8"/>
            <w:vAlign w:val="center"/>
          </w:tcPr>
          <w:p>
            <w:pPr>
              <w:jc w:val="center"/>
              <w:rPr>
                <w:rFonts w:ascii="仿宋" w:hAnsi="仿宋" w:eastAsia="仿宋"/>
                <w:b/>
                <w:bCs/>
                <w:color w:val="000000"/>
                <w:sz w:val="22"/>
                <w:szCs w:val="22"/>
              </w:rPr>
            </w:pPr>
            <w:r>
              <w:rPr>
                <w:rFonts w:hint="eastAsia" w:ascii="仿宋" w:hAnsi="仿宋" w:eastAsia="仿宋"/>
                <w:b/>
                <w:bCs/>
                <w:color w:val="000000"/>
                <w:sz w:val="22"/>
                <w:szCs w:val="22"/>
              </w:rPr>
              <w:t>本期减少</w:t>
            </w:r>
          </w:p>
        </w:tc>
        <w:tc>
          <w:tcPr>
            <w:tcW w:w="1280" w:type="dxa"/>
            <w:tcBorders>
              <w:top w:val="single" w:color="auto" w:sz="4" w:space="0"/>
              <w:left w:val="nil"/>
              <w:bottom w:val="single" w:color="auto" w:sz="4" w:space="0"/>
              <w:right w:val="single" w:color="auto" w:sz="4" w:space="0"/>
            </w:tcBorders>
            <w:shd w:val="clear" w:color="auto" w:fill="D8D8D8"/>
            <w:vAlign w:val="center"/>
          </w:tcPr>
          <w:p>
            <w:pPr>
              <w:jc w:val="center"/>
              <w:rPr>
                <w:rFonts w:hint="eastAsia" w:ascii="仿宋" w:hAnsi="仿宋" w:eastAsia="仿宋"/>
                <w:b/>
                <w:bCs/>
                <w:color w:val="000000"/>
                <w:sz w:val="22"/>
                <w:szCs w:val="22"/>
                <w:lang w:eastAsia="zh-CN"/>
              </w:rPr>
            </w:pPr>
            <w:r>
              <w:rPr>
                <w:rFonts w:hint="eastAsia" w:ascii="仿宋" w:hAnsi="仿宋" w:eastAsia="仿宋"/>
                <w:b/>
                <w:bCs/>
                <w:color w:val="000000"/>
                <w:sz w:val="22"/>
                <w:szCs w:val="22"/>
              </w:rPr>
              <w:t>期末数</w:t>
            </w:r>
          </w:p>
          <w:p>
            <w:pPr>
              <w:jc w:val="center"/>
              <w:rPr>
                <w:rFonts w:ascii="仿宋" w:hAnsi="仿宋" w:eastAsia="仿宋"/>
                <w:b/>
                <w:bCs/>
                <w:color w:val="000000"/>
                <w:sz w:val="22"/>
                <w:szCs w:val="22"/>
              </w:rPr>
            </w:pPr>
            <w:r>
              <w:rPr>
                <w:rFonts w:hint="eastAsia" w:ascii="仿宋" w:hAnsi="仿宋" w:eastAsia="仿宋"/>
                <w:b/>
                <w:bCs/>
                <w:color w:val="000000"/>
                <w:sz w:val="22"/>
                <w:szCs w:val="22"/>
              </w:rPr>
              <w:t>（原值）</w:t>
            </w:r>
          </w:p>
        </w:tc>
        <w:tc>
          <w:tcPr>
            <w:tcW w:w="960" w:type="dxa"/>
            <w:tcBorders>
              <w:top w:val="single" w:color="auto" w:sz="4" w:space="0"/>
              <w:left w:val="nil"/>
              <w:bottom w:val="single" w:color="auto" w:sz="4" w:space="0"/>
              <w:right w:val="single" w:color="auto" w:sz="4" w:space="0"/>
            </w:tcBorders>
            <w:shd w:val="clear" w:color="auto" w:fill="D8D8D8"/>
            <w:vAlign w:val="center"/>
          </w:tcPr>
          <w:p>
            <w:pPr>
              <w:jc w:val="center"/>
              <w:rPr>
                <w:rFonts w:ascii="仿宋" w:hAnsi="仿宋" w:eastAsia="仿宋"/>
                <w:b/>
                <w:bCs/>
                <w:color w:val="000000"/>
                <w:sz w:val="22"/>
                <w:szCs w:val="22"/>
              </w:rPr>
            </w:pPr>
            <w:r>
              <w:rPr>
                <w:rFonts w:hint="eastAsia" w:ascii="仿宋" w:hAnsi="仿宋" w:eastAsia="仿宋"/>
                <w:b/>
                <w:bCs/>
                <w:color w:val="000000"/>
                <w:sz w:val="22"/>
                <w:szCs w:val="22"/>
              </w:rPr>
              <w:t>占资产总额比例</w:t>
            </w:r>
          </w:p>
        </w:tc>
      </w:tr>
      <w:tr>
        <w:tblPrEx>
          <w:tblCellMar>
            <w:top w:w="0" w:type="dxa"/>
            <w:left w:w="108" w:type="dxa"/>
            <w:bottom w:w="0" w:type="dxa"/>
            <w:right w:w="108" w:type="dxa"/>
          </w:tblCellMar>
        </w:tblPrEx>
        <w:trPr>
          <w:trHeight w:val="288" w:hRule="atLeast"/>
        </w:trPr>
        <w:tc>
          <w:tcPr>
            <w:tcW w:w="3260" w:type="dxa"/>
            <w:tcBorders>
              <w:top w:val="nil"/>
              <w:left w:val="single" w:color="auto" w:sz="4" w:space="0"/>
              <w:bottom w:val="single" w:color="auto" w:sz="4" w:space="0"/>
              <w:right w:val="single" w:color="auto" w:sz="4" w:space="0"/>
            </w:tcBorders>
            <w:noWrap/>
            <w:vAlign w:val="center"/>
          </w:tcPr>
          <w:p>
            <w:pPr>
              <w:rPr>
                <w:rFonts w:ascii="仿宋" w:hAnsi="仿宋" w:eastAsia="仿宋"/>
                <w:b/>
                <w:bCs/>
                <w:color w:val="000000"/>
                <w:sz w:val="22"/>
                <w:szCs w:val="22"/>
              </w:rPr>
            </w:pPr>
            <w:r>
              <w:rPr>
                <w:rFonts w:hint="eastAsia" w:ascii="仿宋" w:hAnsi="仿宋" w:eastAsia="仿宋"/>
                <w:b/>
                <w:bCs/>
                <w:color w:val="000000"/>
                <w:sz w:val="22"/>
                <w:szCs w:val="22"/>
              </w:rPr>
              <w:t>流动资产</w:t>
            </w:r>
          </w:p>
        </w:tc>
        <w:tc>
          <w:tcPr>
            <w:tcW w:w="1300" w:type="dxa"/>
            <w:tcBorders>
              <w:top w:val="nil"/>
              <w:left w:val="nil"/>
              <w:bottom w:val="single" w:color="auto" w:sz="4" w:space="0"/>
              <w:right w:val="single" w:color="auto" w:sz="4" w:space="0"/>
            </w:tcBorders>
            <w:noWrap/>
            <w:vAlign w:val="center"/>
          </w:tcPr>
          <w:p>
            <w:pPr>
              <w:jc w:val="center"/>
              <w:rPr>
                <w:color w:val="000000"/>
                <w:sz w:val="20"/>
                <w:szCs w:val="20"/>
              </w:rPr>
            </w:pPr>
            <w:r>
              <w:rPr>
                <w:rFonts w:hint="eastAsia"/>
                <w:color w:val="000000"/>
                <w:sz w:val="20"/>
                <w:szCs w:val="20"/>
              </w:rPr>
              <w:t>570579.38</w:t>
            </w:r>
          </w:p>
        </w:tc>
        <w:tc>
          <w:tcPr>
            <w:tcW w:w="96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880" w:type="dxa"/>
            <w:tcBorders>
              <w:top w:val="nil"/>
              <w:left w:val="nil"/>
              <w:bottom w:val="single" w:color="auto" w:sz="4" w:space="0"/>
              <w:right w:val="single" w:color="auto" w:sz="4" w:space="0"/>
            </w:tcBorders>
          </w:tcPr>
          <w:p>
            <w:pPr>
              <w:jc w:val="center"/>
              <w:rPr>
                <w:color w:val="000000"/>
                <w:sz w:val="22"/>
                <w:szCs w:val="22"/>
              </w:rPr>
            </w:pPr>
            <w:r>
              <w:rPr>
                <w:rFonts w:hint="eastAsia"/>
                <w:color w:val="000000"/>
                <w:sz w:val="22"/>
                <w:szCs w:val="22"/>
              </w:rPr>
              <w:t>468411</w:t>
            </w:r>
          </w:p>
        </w:tc>
        <w:tc>
          <w:tcPr>
            <w:tcW w:w="1280" w:type="dxa"/>
            <w:tcBorders>
              <w:top w:val="nil"/>
              <w:left w:val="nil"/>
              <w:bottom w:val="single" w:color="auto" w:sz="4" w:space="0"/>
              <w:right w:val="single" w:color="auto" w:sz="4" w:space="0"/>
            </w:tcBorders>
            <w:noWrap/>
            <w:vAlign w:val="center"/>
          </w:tcPr>
          <w:p>
            <w:pPr>
              <w:jc w:val="center"/>
              <w:rPr>
                <w:color w:val="000000"/>
                <w:sz w:val="20"/>
                <w:szCs w:val="20"/>
              </w:rPr>
            </w:pPr>
            <w:r>
              <w:rPr>
                <w:rFonts w:hint="eastAsia"/>
                <w:color w:val="000000"/>
                <w:sz w:val="20"/>
                <w:szCs w:val="20"/>
              </w:rPr>
              <w:t>102168.38</w:t>
            </w:r>
          </w:p>
        </w:tc>
        <w:tc>
          <w:tcPr>
            <w:tcW w:w="960" w:type="dxa"/>
            <w:tcBorders>
              <w:top w:val="nil"/>
              <w:left w:val="nil"/>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2.51%</w:t>
            </w:r>
          </w:p>
        </w:tc>
      </w:tr>
      <w:tr>
        <w:tblPrEx>
          <w:tblCellMar>
            <w:top w:w="0" w:type="dxa"/>
            <w:left w:w="108" w:type="dxa"/>
            <w:bottom w:w="0" w:type="dxa"/>
            <w:right w:w="108" w:type="dxa"/>
          </w:tblCellMar>
        </w:tblPrEx>
        <w:trPr>
          <w:trHeight w:val="288" w:hRule="atLeast"/>
        </w:trPr>
        <w:tc>
          <w:tcPr>
            <w:tcW w:w="3260" w:type="dxa"/>
            <w:tcBorders>
              <w:top w:val="nil"/>
              <w:left w:val="single" w:color="auto" w:sz="4" w:space="0"/>
              <w:bottom w:val="single" w:color="auto" w:sz="4" w:space="0"/>
              <w:right w:val="single" w:color="auto" w:sz="4" w:space="0"/>
            </w:tcBorders>
            <w:noWrap/>
            <w:vAlign w:val="center"/>
          </w:tcPr>
          <w:p>
            <w:pPr>
              <w:rPr>
                <w:rFonts w:ascii="仿宋" w:hAnsi="仿宋" w:eastAsia="仿宋"/>
                <w:b/>
                <w:bCs/>
                <w:color w:val="000000"/>
                <w:sz w:val="22"/>
                <w:szCs w:val="22"/>
              </w:rPr>
            </w:pPr>
            <w:r>
              <w:rPr>
                <w:rFonts w:hint="eastAsia" w:ascii="仿宋" w:hAnsi="仿宋" w:eastAsia="仿宋"/>
                <w:b/>
                <w:bCs/>
                <w:color w:val="000000"/>
                <w:sz w:val="22"/>
                <w:szCs w:val="22"/>
              </w:rPr>
              <w:t>固定资产</w:t>
            </w:r>
          </w:p>
        </w:tc>
        <w:tc>
          <w:tcPr>
            <w:tcW w:w="1300" w:type="dxa"/>
            <w:tcBorders>
              <w:top w:val="nil"/>
              <w:left w:val="nil"/>
              <w:bottom w:val="single" w:color="auto" w:sz="4" w:space="0"/>
              <w:right w:val="single" w:color="auto" w:sz="4" w:space="0"/>
            </w:tcBorders>
            <w:noWrap/>
            <w:vAlign w:val="center"/>
          </w:tcPr>
          <w:p>
            <w:pPr>
              <w:jc w:val="center"/>
              <w:rPr>
                <w:color w:val="000000"/>
                <w:sz w:val="20"/>
                <w:szCs w:val="20"/>
              </w:rPr>
            </w:pPr>
            <w:r>
              <w:rPr>
                <w:rFonts w:hint="eastAsia"/>
                <w:color w:val="000000"/>
                <w:sz w:val="20"/>
                <w:szCs w:val="20"/>
              </w:rPr>
              <w:t>5458213</w:t>
            </w:r>
          </w:p>
        </w:tc>
        <w:tc>
          <w:tcPr>
            <w:tcW w:w="96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880" w:type="dxa"/>
            <w:tcBorders>
              <w:top w:val="nil"/>
              <w:left w:val="nil"/>
              <w:bottom w:val="single" w:color="auto" w:sz="4" w:space="0"/>
              <w:right w:val="single" w:color="auto" w:sz="4" w:space="0"/>
            </w:tcBorders>
          </w:tcPr>
          <w:p>
            <w:pPr>
              <w:jc w:val="center"/>
              <w:rPr>
                <w:color w:val="000000"/>
                <w:sz w:val="22"/>
                <w:szCs w:val="22"/>
              </w:rPr>
            </w:pPr>
            <w:r>
              <w:rPr>
                <w:rFonts w:hint="eastAsia"/>
                <w:color w:val="000000"/>
                <w:sz w:val="22"/>
                <w:szCs w:val="22"/>
              </w:rPr>
              <w:t>1492345</w:t>
            </w:r>
          </w:p>
        </w:tc>
        <w:tc>
          <w:tcPr>
            <w:tcW w:w="1280" w:type="dxa"/>
            <w:tcBorders>
              <w:top w:val="nil"/>
              <w:left w:val="nil"/>
              <w:bottom w:val="single" w:color="auto" w:sz="4" w:space="0"/>
              <w:right w:val="single" w:color="auto" w:sz="4" w:space="0"/>
            </w:tcBorders>
            <w:noWrap/>
            <w:vAlign w:val="center"/>
          </w:tcPr>
          <w:p>
            <w:pPr>
              <w:jc w:val="center"/>
              <w:rPr>
                <w:color w:val="000000"/>
                <w:sz w:val="20"/>
                <w:szCs w:val="20"/>
              </w:rPr>
            </w:pPr>
            <w:r>
              <w:rPr>
                <w:rFonts w:hint="eastAsia"/>
                <w:color w:val="000000"/>
                <w:sz w:val="20"/>
                <w:szCs w:val="20"/>
              </w:rPr>
              <w:t>3965868</w:t>
            </w:r>
          </w:p>
        </w:tc>
        <w:tc>
          <w:tcPr>
            <w:tcW w:w="960" w:type="dxa"/>
            <w:tcBorders>
              <w:top w:val="nil"/>
              <w:left w:val="nil"/>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97.49%</w:t>
            </w:r>
          </w:p>
        </w:tc>
      </w:tr>
      <w:tr>
        <w:tblPrEx>
          <w:tblCellMar>
            <w:top w:w="0" w:type="dxa"/>
            <w:left w:w="108" w:type="dxa"/>
            <w:bottom w:w="0" w:type="dxa"/>
            <w:right w:w="108" w:type="dxa"/>
          </w:tblCellMar>
        </w:tblPrEx>
        <w:trPr>
          <w:trHeight w:val="288" w:hRule="atLeast"/>
        </w:trPr>
        <w:tc>
          <w:tcPr>
            <w:tcW w:w="3260" w:type="dxa"/>
            <w:tcBorders>
              <w:top w:val="nil"/>
              <w:left w:val="single" w:color="auto" w:sz="4" w:space="0"/>
              <w:bottom w:val="single" w:color="auto" w:sz="4" w:space="0"/>
              <w:right w:val="single" w:color="auto" w:sz="4" w:space="0"/>
            </w:tcBorders>
            <w:noWrap/>
            <w:vAlign w:val="center"/>
          </w:tcPr>
          <w:p>
            <w:pPr>
              <w:rPr>
                <w:rFonts w:ascii="仿宋" w:hAnsi="仿宋" w:eastAsia="仿宋"/>
                <w:b/>
                <w:bCs/>
                <w:color w:val="000000"/>
                <w:sz w:val="22"/>
                <w:szCs w:val="22"/>
              </w:rPr>
            </w:pPr>
            <w:r>
              <w:rPr>
                <w:rFonts w:hint="eastAsia" w:ascii="仿宋" w:hAnsi="仿宋" w:eastAsia="仿宋"/>
                <w:b/>
                <w:bCs/>
                <w:color w:val="000000"/>
                <w:sz w:val="22"/>
                <w:szCs w:val="22"/>
              </w:rPr>
              <w:t xml:space="preserve"> 其中 1、土地、房屋及构筑物</w:t>
            </w:r>
          </w:p>
        </w:tc>
        <w:tc>
          <w:tcPr>
            <w:tcW w:w="130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96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880" w:type="dxa"/>
            <w:tcBorders>
              <w:top w:val="nil"/>
              <w:left w:val="nil"/>
              <w:bottom w:val="single" w:color="auto" w:sz="4" w:space="0"/>
              <w:right w:val="single" w:color="auto" w:sz="4" w:space="0"/>
            </w:tcBorders>
          </w:tcPr>
          <w:p>
            <w:pPr>
              <w:rPr>
                <w:rFonts w:ascii="Times New Roman" w:hAnsi="Times New Roman" w:cs="Times New Roman"/>
                <w:sz w:val="20"/>
                <w:szCs w:val="20"/>
              </w:rPr>
            </w:pPr>
          </w:p>
        </w:tc>
        <w:tc>
          <w:tcPr>
            <w:tcW w:w="128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960" w:type="dxa"/>
            <w:tcBorders>
              <w:top w:val="nil"/>
              <w:left w:val="nil"/>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0.00%</w:t>
            </w:r>
          </w:p>
        </w:tc>
      </w:tr>
      <w:tr>
        <w:tblPrEx>
          <w:tblCellMar>
            <w:top w:w="0" w:type="dxa"/>
            <w:left w:w="108" w:type="dxa"/>
            <w:bottom w:w="0" w:type="dxa"/>
            <w:right w:w="108" w:type="dxa"/>
          </w:tblCellMar>
        </w:tblPrEx>
        <w:trPr>
          <w:trHeight w:val="288" w:hRule="atLeast"/>
        </w:trPr>
        <w:tc>
          <w:tcPr>
            <w:tcW w:w="3260" w:type="dxa"/>
            <w:tcBorders>
              <w:top w:val="nil"/>
              <w:left w:val="single" w:color="auto" w:sz="4" w:space="0"/>
              <w:bottom w:val="single" w:color="auto" w:sz="4" w:space="0"/>
              <w:right w:val="single" w:color="auto" w:sz="4" w:space="0"/>
            </w:tcBorders>
            <w:noWrap/>
            <w:vAlign w:val="center"/>
          </w:tcPr>
          <w:p>
            <w:pPr>
              <w:rPr>
                <w:rFonts w:ascii="仿宋" w:hAnsi="仿宋" w:eastAsia="仿宋"/>
                <w:b/>
                <w:bCs/>
                <w:color w:val="000000"/>
                <w:sz w:val="22"/>
                <w:szCs w:val="22"/>
              </w:rPr>
            </w:pPr>
            <w:r>
              <w:rPr>
                <w:rFonts w:hint="eastAsia" w:ascii="仿宋" w:hAnsi="仿宋" w:eastAsia="仿宋"/>
                <w:b/>
                <w:bCs/>
                <w:color w:val="000000"/>
                <w:sz w:val="22"/>
                <w:szCs w:val="22"/>
              </w:rPr>
              <w:t xml:space="preserve">      2、通用设备</w:t>
            </w:r>
          </w:p>
        </w:tc>
        <w:tc>
          <w:tcPr>
            <w:tcW w:w="1300" w:type="dxa"/>
            <w:tcBorders>
              <w:top w:val="nil"/>
              <w:left w:val="nil"/>
              <w:bottom w:val="single" w:color="auto" w:sz="4" w:space="0"/>
              <w:right w:val="single" w:color="auto" w:sz="4" w:space="0"/>
            </w:tcBorders>
            <w:noWrap/>
            <w:vAlign w:val="center"/>
          </w:tcPr>
          <w:p>
            <w:pPr>
              <w:jc w:val="center"/>
              <w:rPr>
                <w:color w:val="000000"/>
                <w:sz w:val="20"/>
                <w:szCs w:val="20"/>
              </w:rPr>
            </w:pPr>
            <w:r>
              <w:rPr>
                <w:rFonts w:hint="eastAsia"/>
                <w:color w:val="000000"/>
                <w:sz w:val="20"/>
                <w:szCs w:val="20"/>
              </w:rPr>
              <w:t>5033816</w:t>
            </w:r>
          </w:p>
        </w:tc>
        <w:tc>
          <w:tcPr>
            <w:tcW w:w="96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880" w:type="dxa"/>
            <w:tcBorders>
              <w:top w:val="nil"/>
              <w:left w:val="nil"/>
              <w:bottom w:val="single" w:color="auto" w:sz="4" w:space="0"/>
              <w:right w:val="single" w:color="auto" w:sz="4" w:space="0"/>
            </w:tcBorders>
          </w:tcPr>
          <w:p>
            <w:pPr>
              <w:jc w:val="center"/>
              <w:rPr>
                <w:color w:val="000000"/>
                <w:sz w:val="22"/>
                <w:szCs w:val="22"/>
              </w:rPr>
            </w:pPr>
            <w:r>
              <w:rPr>
                <w:rFonts w:hint="eastAsia"/>
                <w:color w:val="000000"/>
                <w:sz w:val="22"/>
                <w:szCs w:val="22"/>
              </w:rPr>
              <w:t>1333999</w:t>
            </w:r>
          </w:p>
        </w:tc>
        <w:tc>
          <w:tcPr>
            <w:tcW w:w="1280" w:type="dxa"/>
            <w:tcBorders>
              <w:top w:val="nil"/>
              <w:left w:val="nil"/>
              <w:bottom w:val="single" w:color="auto" w:sz="4" w:space="0"/>
              <w:right w:val="single" w:color="auto" w:sz="4" w:space="0"/>
            </w:tcBorders>
            <w:noWrap/>
            <w:vAlign w:val="center"/>
          </w:tcPr>
          <w:p>
            <w:pPr>
              <w:jc w:val="center"/>
              <w:rPr>
                <w:color w:val="000000"/>
                <w:sz w:val="20"/>
                <w:szCs w:val="20"/>
              </w:rPr>
            </w:pPr>
            <w:r>
              <w:rPr>
                <w:rFonts w:hint="eastAsia"/>
                <w:color w:val="000000"/>
                <w:sz w:val="20"/>
                <w:szCs w:val="20"/>
              </w:rPr>
              <w:t>3699817</w:t>
            </w:r>
          </w:p>
        </w:tc>
        <w:tc>
          <w:tcPr>
            <w:tcW w:w="960" w:type="dxa"/>
            <w:tcBorders>
              <w:top w:val="nil"/>
              <w:left w:val="nil"/>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90.95%</w:t>
            </w:r>
          </w:p>
        </w:tc>
      </w:tr>
      <w:tr>
        <w:tblPrEx>
          <w:tblCellMar>
            <w:top w:w="0" w:type="dxa"/>
            <w:left w:w="108" w:type="dxa"/>
            <w:bottom w:w="0" w:type="dxa"/>
            <w:right w:w="108" w:type="dxa"/>
          </w:tblCellMar>
        </w:tblPrEx>
        <w:trPr>
          <w:trHeight w:val="288" w:hRule="atLeast"/>
        </w:trPr>
        <w:tc>
          <w:tcPr>
            <w:tcW w:w="3260" w:type="dxa"/>
            <w:tcBorders>
              <w:top w:val="nil"/>
              <w:left w:val="single" w:color="auto" w:sz="4" w:space="0"/>
              <w:bottom w:val="single" w:color="auto" w:sz="4" w:space="0"/>
              <w:right w:val="single" w:color="auto" w:sz="4" w:space="0"/>
            </w:tcBorders>
            <w:noWrap/>
            <w:vAlign w:val="center"/>
          </w:tcPr>
          <w:p>
            <w:pPr>
              <w:rPr>
                <w:rFonts w:ascii="仿宋" w:hAnsi="仿宋" w:eastAsia="仿宋"/>
                <w:b/>
                <w:bCs/>
                <w:color w:val="000000"/>
                <w:sz w:val="22"/>
                <w:szCs w:val="22"/>
              </w:rPr>
            </w:pPr>
            <w:r>
              <w:rPr>
                <w:rFonts w:hint="eastAsia" w:ascii="仿宋" w:hAnsi="仿宋" w:eastAsia="仿宋"/>
                <w:b/>
                <w:bCs/>
                <w:color w:val="000000"/>
                <w:sz w:val="22"/>
                <w:szCs w:val="22"/>
              </w:rPr>
              <w:t xml:space="preserve">        其中：车辆</w:t>
            </w:r>
          </w:p>
        </w:tc>
        <w:tc>
          <w:tcPr>
            <w:tcW w:w="130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96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880" w:type="dxa"/>
            <w:tcBorders>
              <w:top w:val="nil"/>
              <w:left w:val="nil"/>
              <w:bottom w:val="single" w:color="auto" w:sz="4" w:space="0"/>
              <w:right w:val="single" w:color="auto" w:sz="4" w:space="0"/>
            </w:tcBorders>
          </w:tcPr>
          <w:p>
            <w:pPr>
              <w:rPr>
                <w:rFonts w:ascii="Times New Roman" w:hAnsi="Times New Roman" w:cs="Times New Roman"/>
                <w:sz w:val="20"/>
                <w:szCs w:val="20"/>
              </w:rPr>
            </w:pPr>
          </w:p>
        </w:tc>
        <w:tc>
          <w:tcPr>
            <w:tcW w:w="128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960" w:type="dxa"/>
            <w:tcBorders>
              <w:top w:val="nil"/>
              <w:left w:val="nil"/>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0.00%</w:t>
            </w:r>
          </w:p>
        </w:tc>
      </w:tr>
      <w:tr>
        <w:tblPrEx>
          <w:tblCellMar>
            <w:top w:w="0" w:type="dxa"/>
            <w:left w:w="108" w:type="dxa"/>
            <w:bottom w:w="0" w:type="dxa"/>
            <w:right w:w="108" w:type="dxa"/>
          </w:tblCellMar>
        </w:tblPrEx>
        <w:trPr>
          <w:trHeight w:val="288" w:hRule="atLeast"/>
        </w:trPr>
        <w:tc>
          <w:tcPr>
            <w:tcW w:w="3260" w:type="dxa"/>
            <w:tcBorders>
              <w:top w:val="nil"/>
              <w:left w:val="single" w:color="auto" w:sz="4" w:space="0"/>
              <w:bottom w:val="single" w:color="auto" w:sz="4" w:space="0"/>
              <w:right w:val="single" w:color="auto" w:sz="4" w:space="0"/>
            </w:tcBorders>
            <w:noWrap/>
            <w:vAlign w:val="center"/>
          </w:tcPr>
          <w:p>
            <w:pPr>
              <w:rPr>
                <w:rFonts w:ascii="仿宋" w:hAnsi="仿宋" w:eastAsia="仿宋"/>
                <w:b/>
                <w:bCs/>
                <w:color w:val="000000"/>
                <w:sz w:val="22"/>
                <w:szCs w:val="22"/>
              </w:rPr>
            </w:pPr>
            <w:r>
              <w:rPr>
                <w:rFonts w:hint="eastAsia" w:ascii="仿宋" w:hAnsi="仿宋" w:eastAsia="仿宋"/>
                <w:b/>
                <w:bCs/>
                <w:color w:val="000000"/>
                <w:sz w:val="22"/>
                <w:szCs w:val="22"/>
              </w:rPr>
              <w:t xml:space="preserve">      3、专用设备</w:t>
            </w:r>
          </w:p>
        </w:tc>
        <w:tc>
          <w:tcPr>
            <w:tcW w:w="1300" w:type="dxa"/>
            <w:tcBorders>
              <w:top w:val="nil"/>
              <w:left w:val="nil"/>
              <w:bottom w:val="single" w:color="auto" w:sz="4" w:space="0"/>
              <w:right w:val="single" w:color="auto" w:sz="4" w:space="0"/>
            </w:tcBorders>
            <w:noWrap/>
            <w:vAlign w:val="center"/>
          </w:tcPr>
          <w:p>
            <w:pPr>
              <w:jc w:val="center"/>
              <w:rPr>
                <w:color w:val="000000"/>
                <w:sz w:val="20"/>
                <w:szCs w:val="20"/>
              </w:rPr>
            </w:pPr>
            <w:r>
              <w:rPr>
                <w:rFonts w:hint="eastAsia"/>
                <w:color w:val="000000"/>
                <w:sz w:val="20"/>
                <w:szCs w:val="20"/>
              </w:rPr>
              <w:t>168013</w:t>
            </w:r>
          </w:p>
        </w:tc>
        <w:tc>
          <w:tcPr>
            <w:tcW w:w="96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880" w:type="dxa"/>
            <w:tcBorders>
              <w:top w:val="nil"/>
              <w:left w:val="nil"/>
              <w:bottom w:val="single" w:color="auto" w:sz="4" w:space="0"/>
              <w:right w:val="single" w:color="auto" w:sz="4" w:space="0"/>
            </w:tcBorders>
          </w:tcPr>
          <w:p>
            <w:pPr>
              <w:jc w:val="center"/>
              <w:rPr>
                <w:color w:val="000000"/>
                <w:sz w:val="22"/>
                <w:szCs w:val="22"/>
              </w:rPr>
            </w:pPr>
            <w:r>
              <w:rPr>
                <w:rFonts w:hint="eastAsia"/>
                <w:color w:val="000000"/>
                <w:sz w:val="22"/>
                <w:szCs w:val="22"/>
              </w:rPr>
              <w:t>123112</w:t>
            </w:r>
          </w:p>
        </w:tc>
        <w:tc>
          <w:tcPr>
            <w:tcW w:w="1280" w:type="dxa"/>
            <w:tcBorders>
              <w:top w:val="nil"/>
              <w:left w:val="nil"/>
              <w:bottom w:val="single" w:color="auto" w:sz="4" w:space="0"/>
              <w:right w:val="single" w:color="auto" w:sz="4" w:space="0"/>
            </w:tcBorders>
            <w:noWrap/>
            <w:vAlign w:val="center"/>
          </w:tcPr>
          <w:p>
            <w:pPr>
              <w:jc w:val="center"/>
              <w:rPr>
                <w:color w:val="000000"/>
                <w:sz w:val="20"/>
                <w:szCs w:val="20"/>
              </w:rPr>
            </w:pPr>
            <w:r>
              <w:rPr>
                <w:rFonts w:hint="eastAsia"/>
                <w:color w:val="000000"/>
                <w:sz w:val="20"/>
                <w:szCs w:val="20"/>
              </w:rPr>
              <w:t>44901</w:t>
            </w:r>
          </w:p>
        </w:tc>
        <w:tc>
          <w:tcPr>
            <w:tcW w:w="960" w:type="dxa"/>
            <w:tcBorders>
              <w:top w:val="nil"/>
              <w:left w:val="nil"/>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1.10%</w:t>
            </w:r>
          </w:p>
        </w:tc>
      </w:tr>
      <w:tr>
        <w:tblPrEx>
          <w:tblCellMar>
            <w:top w:w="0" w:type="dxa"/>
            <w:left w:w="108" w:type="dxa"/>
            <w:bottom w:w="0" w:type="dxa"/>
            <w:right w:w="108" w:type="dxa"/>
          </w:tblCellMar>
        </w:tblPrEx>
        <w:trPr>
          <w:trHeight w:val="288" w:hRule="atLeast"/>
        </w:trPr>
        <w:tc>
          <w:tcPr>
            <w:tcW w:w="3260" w:type="dxa"/>
            <w:tcBorders>
              <w:top w:val="nil"/>
              <w:left w:val="single" w:color="auto" w:sz="4" w:space="0"/>
              <w:bottom w:val="single" w:color="auto" w:sz="4" w:space="0"/>
              <w:right w:val="single" w:color="auto" w:sz="4" w:space="0"/>
            </w:tcBorders>
            <w:noWrap/>
            <w:vAlign w:val="center"/>
          </w:tcPr>
          <w:p>
            <w:pPr>
              <w:rPr>
                <w:rFonts w:ascii="仿宋" w:hAnsi="仿宋" w:eastAsia="仿宋"/>
                <w:b/>
                <w:bCs/>
                <w:color w:val="000000"/>
                <w:sz w:val="22"/>
                <w:szCs w:val="22"/>
              </w:rPr>
            </w:pPr>
            <w:r>
              <w:rPr>
                <w:rFonts w:hint="eastAsia" w:ascii="仿宋" w:hAnsi="仿宋" w:eastAsia="仿宋"/>
                <w:b/>
                <w:bCs/>
                <w:color w:val="000000"/>
                <w:sz w:val="22"/>
                <w:szCs w:val="22"/>
              </w:rPr>
              <w:t xml:space="preserve">      3、家具用具装具及动植物</w:t>
            </w:r>
          </w:p>
        </w:tc>
        <w:tc>
          <w:tcPr>
            <w:tcW w:w="1300" w:type="dxa"/>
            <w:tcBorders>
              <w:top w:val="nil"/>
              <w:left w:val="nil"/>
              <w:bottom w:val="single" w:color="auto" w:sz="4" w:space="0"/>
              <w:right w:val="single" w:color="auto" w:sz="4" w:space="0"/>
            </w:tcBorders>
            <w:noWrap/>
            <w:vAlign w:val="center"/>
          </w:tcPr>
          <w:p>
            <w:pPr>
              <w:jc w:val="center"/>
              <w:rPr>
                <w:color w:val="000000"/>
                <w:sz w:val="20"/>
                <w:szCs w:val="20"/>
              </w:rPr>
            </w:pPr>
            <w:r>
              <w:rPr>
                <w:rFonts w:hint="eastAsia"/>
                <w:color w:val="000000"/>
                <w:sz w:val="20"/>
                <w:szCs w:val="20"/>
              </w:rPr>
              <w:t>256384</w:t>
            </w:r>
          </w:p>
        </w:tc>
        <w:tc>
          <w:tcPr>
            <w:tcW w:w="96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880" w:type="dxa"/>
            <w:tcBorders>
              <w:top w:val="nil"/>
              <w:left w:val="nil"/>
              <w:bottom w:val="single" w:color="auto" w:sz="4" w:space="0"/>
              <w:right w:val="single" w:color="auto" w:sz="4" w:space="0"/>
            </w:tcBorders>
          </w:tcPr>
          <w:p>
            <w:pPr>
              <w:jc w:val="center"/>
              <w:rPr>
                <w:color w:val="000000"/>
                <w:sz w:val="22"/>
                <w:szCs w:val="22"/>
              </w:rPr>
            </w:pPr>
            <w:r>
              <w:rPr>
                <w:rFonts w:hint="eastAsia"/>
                <w:color w:val="000000"/>
                <w:sz w:val="22"/>
                <w:szCs w:val="22"/>
              </w:rPr>
              <w:t>35234</w:t>
            </w:r>
          </w:p>
        </w:tc>
        <w:tc>
          <w:tcPr>
            <w:tcW w:w="1280" w:type="dxa"/>
            <w:tcBorders>
              <w:top w:val="nil"/>
              <w:left w:val="nil"/>
              <w:bottom w:val="single" w:color="auto" w:sz="4" w:space="0"/>
              <w:right w:val="single" w:color="auto" w:sz="4" w:space="0"/>
            </w:tcBorders>
            <w:noWrap/>
            <w:vAlign w:val="center"/>
          </w:tcPr>
          <w:p>
            <w:pPr>
              <w:jc w:val="center"/>
              <w:rPr>
                <w:color w:val="000000"/>
                <w:sz w:val="20"/>
                <w:szCs w:val="20"/>
              </w:rPr>
            </w:pPr>
            <w:r>
              <w:rPr>
                <w:rFonts w:hint="eastAsia"/>
                <w:color w:val="000000"/>
                <w:sz w:val="20"/>
                <w:szCs w:val="20"/>
              </w:rPr>
              <w:t>221150</w:t>
            </w:r>
          </w:p>
        </w:tc>
        <w:tc>
          <w:tcPr>
            <w:tcW w:w="960" w:type="dxa"/>
            <w:tcBorders>
              <w:top w:val="nil"/>
              <w:left w:val="nil"/>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5.44%</w:t>
            </w:r>
          </w:p>
        </w:tc>
      </w:tr>
      <w:tr>
        <w:tblPrEx>
          <w:tblCellMar>
            <w:top w:w="0" w:type="dxa"/>
            <w:left w:w="108" w:type="dxa"/>
            <w:bottom w:w="0" w:type="dxa"/>
            <w:right w:w="108" w:type="dxa"/>
          </w:tblCellMar>
        </w:tblPrEx>
        <w:trPr>
          <w:trHeight w:val="288" w:hRule="atLeast"/>
        </w:trPr>
        <w:tc>
          <w:tcPr>
            <w:tcW w:w="3260" w:type="dxa"/>
            <w:tcBorders>
              <w:top w:val="nil"/>
              <w:left w:val="single" w:color="auto" w:sz="4" w:space="0"/>
              <w:bottom w:val="single" w:color="auto" w:sz="4" w:space="0"/>
              <w:right w:val="single" w:color="auto" w:sz="4" w:space="0"/>
            </w:tcBorders>
            <w:noWrap/>
            <w:vAlign w:val="center"/>
          </w:tcPr>
          <w:p>
            <w:pPr>
              <w:rPr>
                <w:rFonts w:ascii="仿宋" w:hAnsi="仿宋" w:eastAsia="仿宋"/>
                <w:b/>
                <w:bCs/>
                <w:color w:val="000000"/>
                <w:sz w:val="22"/>
                <w:szCs w:val="22"/>
              </w:rPr>
            </w:pPr>
            <w:r>
              <w:rPr>
                <w:rFonts w:hint="eastAsia" w:ascii="仿宋" w:hAnsi="仿宋" w:eastAsia="仿宋"/>
                <w:b/>
                <w:bCs/>
                <w:color w:val="000000"/>
                <w:sz w:val="22"/>
                <w:szCs w:val="22"/>
              </w:rPr>
              <w:t>无形资产</w:t>
            </w:r>
          </w:p>
        </w:tc>
        <w:tc>
          <w:tcPr>
            <w:tcW w:w="130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96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880" w:type="dxa"/>
            <w:tcBorders>
              <w:top w:val="nil"/>
              <w:left w:val="nil"/>
              <w:bottom w:val="single" w:color="auto" w:sz="4" w:space="0"/>
              <w:right w:val="single" w:color="auto" w:sz="4" w:space="0"/>
            </w:tcBorders>
          </w:tcPr>
          <w:p>
            <w:pPr>
              <w:rPr>
                <w:rFonts w:ascii="Times New Roman" w:hAnsi="Times New Roman" w:cs="Times New Roman"/>
                <w:sz w:val="20"/>
                <w:szCs w:val="20"/>
              </w:rPr>
            </w:pPr>
          </w:p>
        </w:tc>
        <w:tc>
          <w:tcPr>
            <w:tcW w:w="128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960" w:type="dxa"/>
            <w:tcBorders>
              <w:top w:val="nil"/>
              <w:left w:val="nil"/>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0.00%</w:t>
            </w:r>
          </w:p>
        </w:tc>
      </w:tr>
      <w:tr>
        <w:tblPrEx>
          <w:tblCellMar>
            <w:top w:w="0" w:type="dxa"/>
            <w:left w:w="108" w:type="dxa"/>
            <w:bottom w:w="0" w:type="dxa"/>
            <w:right w:w="108" w:type="dxa"/>
          </w:tblCellMar>
        </w:tblPrEx>
        <w:trPr>
          <w:trHeight w:val="288" w:hRule="atLeast"/>
        </w:trPr>
        <w:tc>
          <w:tcPr>
            <w:tcW w:w="3260" w:type="dxa"/>
            <w:tcBorders>
              <w:top w:val="nil"/>
              <w:left w:val="single" w:color="auto" w:sz="4" w:space="0"/>
              <w:bottom w:val="single" w:color="auto" w:sz="4" w:space="0"/>
              <w:right w:val="single" w:color="auto" w:sz="4" w:space="0"/>
            </w:tcBorders>
            <w:noWrap/>
            <w:vAlign w:val="center"/>
          </w:tcPr>
          <w:p>
            <w:pPr>
              <w:rPr>
                <w:rFonts w:ascii="仿宋" w:hAnsi="仿宋" w:eastAsia="仿宋"/>
                <w:b/>
                <w:bCs/>
                <w:color w:val="000000"/>
                <w:sz w:val="22"/>
                <w:szCs w:val="22"/>
              </w:rPr>
            </w:pPr>
            <w:r>
              <w:rPr>
                <w:rFonts w:hint="eastAsia" w:ascii="仿宋" w:hAnsi="仿宋" w:eastAsia="仿宋"/>
                <w:b/>
                <w:bCs/>
                <w:color w:val="000000"/>
                <w:sz w:val="22"/>
                <w:szCs w:val="22"/>
              </w:rPr>
              <w:t>在建工程</w:t>
            </w:r>
          </w:p>
        </w:tc>
        <w:tc>
          <w:tcPr>
            <w:tcW w:w="130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96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880" w:type="dxa"/>
            <w:tcBorders>
              <w:top w:val="nil"/>
              <w:left w:val="nil"/>
              <w:bottom w:val="single" w:color="auto" w:sz="4" w:space="0"/>
              <w:right w:val="single" w:color="auto" w:sz="4" w:space="0"/>
            </w:tcBorders>
          </w:tcPr>
          <w:p>
            <w:pPr>
              <w:rPr>
                <w:rFonts w:ascii="Times New Roman" w:hAnsi="Times New Roman" w:cs="Times New Roman"/>
                <w:sz w:val="20"/>
                <w:szCs w:val="20"/>
              </w:rPr>
            </w:pPr>
          </w:p>
        </w:tc>
        <w:tc>
          <w:tcPr>
            <w:tcW w:w="1280" w:type="dxa"/>
            <w:tcBorders>
              <w:top w:val="nil"/>
              <w:left w:val="nil"/>
              <w:bottom w:val="single" w:color="auto" w:sz="4" w:space="0"/>
              <w:right w:val="single" w:color="auto" w:sz="4" w:space="0"/>
            </w:tcBorders>
            <w:noWrap/>
            <w:vAlign w:val="center"/>
          </w:tcPr>
          <w:p>
            <w:pPr>
              <w:rPr>
                <w:rFonts w:ascii="Times New Roman" w:hAnsi="Times New Roman" w:cs="Times New Roman"/>
                <w:sz w:val="20"/>
                <w:szCs w:val="20"/>
              </w:rPr>
            </w:pPr>
          </w:p>
        </w:tc>
        <w:tc>
          <w:tcPr>
            <w:tcW w:w="960" w:type="dxa"/>
            <w:tcBorders>
              <w:top w:val="nil"/>
              <w:left w:val="nil"/>
              <w:bottom w:val="single" w:color="auto" w:sz="4" w:space="0"/>
              <w:right w:val="single" w:color="auto" w:sz="4" w:space="0"/>
            </w:tcBorders>
            <w:noWrap/>
            <w:vAlign w:val="center"/>
          </w:tcPr>
          <w:p>
            <w:pPr>
              <w:jc w:val="center"/>
              <w:rPr>
                <w:color w:val="000000"/>
                <w:sz w:val="22"/>
                <w:szCs w:val="22"/>
              </w:rPr>
            </w:pPr>
            <w:r>
              <w:rPr>
                <w:rFonts w:hint="eastAsia"/>
                <w:color w:val="000000"/>
                <w:sz w:val="22"/>
                <w:szCs w:val="22"/>
              </w:rPr>
              <w:t>0.00%</w:t>
            </w:r>
          </w:p>
        </w:tc>
      </w:tr>
      <w:tr>
        <w:tblPrEx>
          <w:tblCellMar>
            <w:top w:w="0" w:type="dxa"/>
            <w:left w:w="108" w:type="dxa"/>
            <w:bottom w:w="0" w:type="dxa"/>
            <w:right w:w="108" w:type="dxa"/>
          </w:tblCellMar>
        </w:tblPrEx>
        <w:trPr>
          <w:trHeight w:val="288" w:hRule="atLeast"/>
        </w:trPr>
        <w:tc>
          <w:tcPr>
            <w:tcW w:w="3260" w:type="dxa"/>
            <w:tcBorders>
              <w:top w:val="nil"/>
              <w:left w:val="single" w:color="auto" w:sz="4" w:space="0"/>
              <w:bottom w:val="single" w:color="auto" w:sz="4" w:space="0"/>
              <w:right w:val="single" w:color="auto" w:sz="4" w:space="0"/>
            </w:tcBorders>
            <w:shd w:val="clear" w:color="auto" w:fill="D8D8D8"/>
            <w:noWrap/>
            <w:vAlign w:val="center"/>
          </w:tcPr>
          <w:p>
            <w:pPr>
              <w:rPr>
                <w:rFonts w:ascii="仿宋" w:hAnsi="仿宋" w:eastAsia="仿宋"/>
                <w:b/>
                <w:bCs/>
                <w:color w:val="000000"/>
                <w:sz w:val="22"/>
                <w:szCs w:val="22"/>
              </w:rPr>
            </w:pPr>
            <w:r>
              <w:rPr>
                <w:rFonts w:hint="eastAsia" w:ascii="仿宋" w:hAnsi="仿宋" w:eastAsia="仿宋"/>
                <w:b/>
                <w:bCs/>
                <w:color w:val="000000"/>
                <w:sz w:val="22"/>
                <w:szCs w:val="22"/>
              </w:rPr>
              <w:t>资产总量</w:t>
            </w:r>
          </w:p>
        </w:tc>
        <w:tc>
          <w:tcPr>
            <w:tcW w:w="1300" w:type="dxa"/>
            <w:tcBorders>
              <w:top w:val="nil"/>
              <w:left w:val="nil"/>
              <w:bottom w:val="single" w:color="auto" w:sz="4" w:space="0"/>
              <w:right w:val="single" w:color="auto" w:sz="4" w:space="0"/>
            </w:tcBorders>
            <w:shd w:val="clear" w:color="auto" w:fill="D8D8D8"/>
            <w:noWrap/>
            <w:vAlign w:val="center"/>
          </w:tcPr>
          <w:p>
            <w:pPr>
              <w:jc w:val="center"/>
              <w:rPr>
                <w:color w:val="000000"/>
                <w:sz w:val="22"/>
                <w:szCs w:val="22"/>
              </w:rPr>
            </w:pPr>
            <w:r>
              <w:rPr>
                <w:rFonts w:hint="eastAsia"/>
                <w:color w:val="000000"/>
                <w:sz w:val="22"/>
                <w:szCs w:val="22"/>
              </w:rPr>
              <w:t>6028792.38</w:t>
            </w:r>
          </w:p>
        </w:tc>
        <w:tc>
          <w:tcPr>
            <w:tcW w:w="960" w:type="dxa"/>
            <w:tcBorders>
              <w:top w:val="nil"/>
              <w:left w:val="nil"/>
              <w:bottom w:val="single" w:color="auto" w:sz="4" w:space="0"/>
              <w:right w:val="single" w:color="auto" w:sz="4" w:space="0"/>
            </w:tcBorders>
            <w:shd w:val="clear" w:color="auto" w:fill="D8D8D8"/>
            <w:noWrap/>
            <w:vAlign w:val="center"/>
          </w:tcPr>
          <w:p>
            <w:pPr>
              <w:jc w:val="center"/>
              <w:rPr>
                <w:color w:val="000000"/>
                <w:sz w:val="22"/>
                <w:szCs w:val="22"/>
              </w:rPr>
            </w:pPr>
            <w:r>
              <w:rPr>
                <w:rFonts w:hint="eastAsia"/>
                <w:color w:val="000000"/>
                <w:sz w:val="22"/>
                <w:szCs w:val="22"/>
              </w:rPr>
              <w:t>0</w:t>
            </w:r>
          </w:p>
        </w:tc>
        <w:tc>
          <w:tcPr>
            <w:tcW w:w="880" w:type="dxa"/>
            <w:tcBorders>
              <w:top w:val="nil"/>
              <w:left w:val="nil"/>
              <w:bottom w:val="single" w:color="auto" w:sz="4" w:space="0"/>
              <w:right w:val="single" w:color="auto" w:sz="4" w:space="0"/>
            </w:tcBorders>
            <w:shd w:val="clear" w:color="auto" w:fill="D8D8D8"/>
            <w:vAlign w:val="center"/>
          </w:tcPr>
          <w:p>
            <w:pPr>
              <w:jc w:val="center"/>
              <w:rPr>
                <w:color w:val="000000"/>
                <w:sz w:val="22"/>
                <w:szCs w:val="22"/>
              </w:rPr>
            </w:pPr>
            <w:r>
              <w:rPr>
                <w:rFonts w:hint="eastAsia"/>
                <w:color w:val="000000"/>
                <w:sz w:val="22"/>
                <w:szCs w:val="22"/>
              </w:rPr>
              <w:t>1960756</w:t>
            </w:r>
          </w:p>
        </w:tc>
        <w:tc>
          <w:tcPr>
            <w:tcW w:w="1280" w:type="dxa"/>
            <w:tcBorders>
              <w:top w:val="nil"/>
              <w:left w:val="nil"/>
              <w:bottom w:val="single" w:color="auto" w:sz="4" w:space="0"/>
              <w:right w:val="single" w:color="auto" w:sz="4" w:space="0"/>
            </w:tcBorders>
            <w:shd w:val="clear" w:color="auto" w:fill="D8D8D8"/>
            <w:noWrap/>
            <w:vAlign w:val="center"/>
          </w:tcPr>
          <w:p>
            <w:pPr>
              <w:jc w:val="center"/>
              <w:rPr>
                <w:color w:val="000000"/>
                <w:sz w:val="22"/>
                <w:szCs w:val="22"/>
              </w:rPr>
            </w:pPr>
            <w:r>
              <w:rPr>
                <w:rFonts w:hint="eastAsia"/>
                <w:color w:val="000000"/>
                <w:sz w:val="22"/>
                <w:szCs w:val="22"/>
              </w:rPr>
              <w:t>4068036.38</w:t>
            </w:r>
          </w:p>
        </w:tc>
        <w:tc>
          <w:tcPr>
            <w:tcW w:w="960" w:type="dxa"/>
            <w:tcBorders>
              <w:top w:val="nil"/>
              <w:left w:val="nil"/>
              <w:bottom w:val="single" w:color="auto" w:sz="4" w:space="0"/>
              <w:right w:val="single" w:color="auto" w:sz="4" w:space="0"/>
            </w:tcBorders>
            <w:shd w:val="clear" w:color="auto" w:fill="D8D8D8"/>
            <w:noWrap/>
            <w:vAlign w:val="center"/>
          </w:tcPr>
          <w:p>
            <w:pPr>
              <w:jc w:val="center"/>
              <w:rPr>
                <w:color w:val="000000"/>
                <w:sz w:val="22"/>
                <w:szCs w:val="22"/>
              </w:rPr>
            </w:pPr>
            <w:r>
              <w:rPr>
                <w:rFonts w:hint="eastAsia"/>
                <w:color w:val="000000"/>
                <w:sz w:val="22"/>
                <w:szCs w:val="22"/>
              </w:rPr>
              <w:t>100.00%</w:t>
            </w:r>
          </w:p>
        </w:tc>
      </w:tr>
    </w:tbl>
    <w:p>
      <w:pPr>
        <w:spacing w:line="360" w:lineRule="auto"/>
        <w:ind w:firstLine="630" w:firstLineChars="225"/>
        <w:rPr>
          <w:rFonts w:hint="eastAsia" w:ascii="仿宋" w:hAnsi="仿宋" w:eastAsia="仿宋"/>
          <w:sz w:val="28"/>
          <w:szCs w:val="28"/>
        </w:rPr>
      </w:pPr>
      <w:r>
        <w:rPr>
          <w:rFonts w:hint="eastAsia" w:ascii="仿宋" w:hAnsi="仿宋" w:eastAsia="仿宋"/>
          <w:sz w:val="28"/>
          <w:szCs w:val="28"/>
        </w:rPr>
        <w:t xml:space="preserve"> </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（2）分析本单位资产的配置、使用、处置、收益等情况。</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本年未增加固定资产配置，年初处置电脑两台，固定资产原值减少0.85万元，因单位垂改，原非独立二级机构环境监察大队调整到市生态环境执法局下属，相应固定资产年底划拨到执法局所有，导致本局固定资产原值减少148.39万元，所有资产都在使用，无闲置资产，无资产收益。另，本单位无产权使用办公室总面积191.9平方米，总人数37人，人均占有办公室使用面积5.18平方米。</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（3）分析本单位资产绩效情况。</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本单位资产有效利用率100%，无闲置资产。本单位无出租出借资产、无对外投资。</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（二）、资产管理工作的成效及经验</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（1）主要举措。</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严格执行政府采购程序，严格落实资产保管制度，定期清查核对资产明细情况，及时申报处置待报废资产，确保资产有效利用。</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（2）主要成效。</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充分发挥资产的最大效能,在推动区域水、气、声、土目标任务的完成,发挥了资产的最大作用,确保了区域环境质量稳步提升.</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（三）、资产管理工作存在的问题及原因分析</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（1）资产管理体制机制方面。</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进一步加强资产的分层管理，落实资产保管维护，更好地盘活资产使用情况。</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（2）资产配置方面。</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本单位无办公室使用面积超标准、车辆超编配置等情况。</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（3）资产使用方面。</w:t>
      </w:r>
    </w:p>
    <w:p>
      <w:pPr>
        <w:spacing w:before="185" w:line="360" w:lineRule="auto"/>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本单位无未履行审批程序进行资产出租出借、对外投资等情况。</w:t>
      </w:r>
    </w:p>
    <w:p>
      <w:pPr>
        <w:pStyle w:val="4"/>
        <w:shd w:val="clear" w:color="auto" w:fill="FFFFFF"/>
        <w:adjustRightInd w:val="0"/>
        <w:snapToGrid w:val="0"/>
        <w:ind w:firstLine="631" w:firstLineChars="200"/>
        <w:rPr>
          <w:rFonts w:hint="eastAsia" w:ascii="黑体" w:hAnsi="黑体" w:eastAsia="黑体" w:cs="仿宋"/>
          <w:b/>
          <w:bCs/>
          <w:spacing w:val="-3"/>
          <w:kern w:val="2"/>
          <w:position w:val="22"/>
          <w:sz w:val="32"/>
          <w:szCs w:val="32"/>
        </w:rPr>
      </w:pPr>
      <w:r>
        <w:rPr>
          <w:rFonts w:hint="eastAsia" w:ascii="黑体" w:hAnsi="黑体" w:eastAsia="黑体" w:cs="仿宋"/>
          <w:b/>
          <w:bCs/>
          <w:spacing w:val="-3"/>
          <w:kern w:val="2"/>
          <w:position w:val="22"/>
          <w:sz w:val="32"/>
          <w:szCs w:val="32"/>
        </w:rPr>
        <w:t xml:space="preserve">五、政府性基金预算支出情况  </w:t>
      </w:r>
    </w:p>
    <w:p>
      <w:pPr>
        <w:pStyle w:val="4"/>
        <w:shd w:val="clear" w:color="auto" w:fill="FFFFFF"/>
        <w:adjustRightInd w:val="0"/>
        <w:snapToGrid w:val="0"/>
        <w:ind w:firstLine="628" w:firstLineChars="200"/>
        <w:rPr>
          <w:rFonts w:hint="eastAsia" w:ascii="黑体" w:hAnsi="黑体" w:eastAsia="黑体" w:cs="仿宋"/>
          <w:b/>
          <w:bCs/>
          <w:spacing w:val="-3"/>
          <w:kern w:val="2"/>
          <w:position w:val="22"/>
          <w:sz w:val="32"/>
          <w:szCs w:val="32"/>
        </w:rPr>
      </w:pPr>
      <w:r>
        <w:rPr>
          <w:rFonts w:hint="eastAsia" w:ascii="仿宋" w:hAnsi="仿宋" w:eastAsia="仿宋"/>
          <w:spacing w:val="-3"/>
          <w:kern w:val="2"/>
          <w:position w:val="22"/>
          <w:sz w:val="32"/>
          <w:szCs w:val="32"/>
        </w:rPr>
        <w:t xml:space="preserve">无 </w:t>
      </w:r>
    </w:p>
    <w:p>
      <w:pPr>
        <w:pStyle w:val="4"/>
        <w:shd w:val="clear" w:color="auto" w:fill="FFFFFF"/>
        <w:adjustRightInd w:val="0"/>
        <w:snapToGrid w:val="0"/>
        <w:ind w:firstLine="631" w:firstLineChars="200"/>
        <w:rPr>
          <w:rFonts w:hint="eastAsia" w:ascii="黑体" w:hAnsi="黑体" w:eastAsia="黑体" w:cs="仿宋"/>
          <w:b/>
          <w:bCs/>
          <w:spacing w:val="-3"/>
          <w:kern w:val="2"/>
          <w:position w:val="22"/>
          <w:sz w:val="32"/>
          <w:szCs w:val="32"/>
        </w:rPr>
      </w:pPr>
      <w:r>
        <w:rPr>
          <w:rFonts w:hint="eastAsia" w:ascii="黑体" w:hAnsi="黑体" w:eastAsia="黑体" w:cs="仿宋"/>
          <w:b/>
          <w:bCs/>
          <w:spacing w:val="-3"/>
          <w:kern w:val="2"/>
          <w:position w:val="22"/>
          <w:sz w:val="32"/>
          <w:szCs w:val="32"/>
        </w:rPr>
        <w:t>六、国有资本经营预算支出情况</w:t>
      </w:r>
    </w:p>
    <w:p>
      <w:pPr>
        <w:pStyle w:val="4"/>
        <w:shd w:val="clear" w:color="auto" w:fill="FFFFFF"/>
        <w:adjustRightInd w:val="0"/>
        <w:snapToGrid w:val="0"/>
        <w:ind w:firstLine="628" w:firstLineChars="200"/>
        <w:rPr>
          <w:rFonts w:hint="eastAsia" w:ascii="黑体" w:hAnsi="黑体" w:eastAsia="黑体" w:cs="仿宋"/>
          <w:b/>
          <w:bCs/>
          <w:spacing w:val="-3"/>
          <w:kern w:val="2"/>
          <w:position w:val="22"/>
          <w:sz w:val="32"/>
          <w:szCs w:val="32"/>
        </w:rPr>
      </w:pPr>
      <w:r>
        <w:rPr>
          <w:rFonts w:hint="eastAsia" w:ascii="仿宋" w:hAnsi="仿宋" w:eastAsia="仿宋"/>
          <w:spacing w:val="-3"/>
          <w:kern w:val="2"/>
          <w:position w:val="22"/>
          <w:sz w:val="32"/>
          <w:szCs w:val="32"/>
        </w:rPr>
        <w:t>无</w:t>
      </w:r>
    </w:p>
    <w:p>
      <w:pPr>
        <w:pStyle w:val="4"/>
        <w:shd w:val="clear" w:color="auto" w:fill="FFFFFF"/>
        <w:adjustRightInd w:val="0"/>
        <w:snapToGrid w:val="0"/>
        <w:ind w:firstLine="631" w:firstLineChars="200"/>
        <w:rPr>
          <w:rFonts w:hint="eastAsia" w:ascii="黑体" w:hAnsi="黑体" w:eastAsia="黑体" w:cs="仿宋"/>
          <w:b/>
          <w:bCs/>
          <w:spacing w:val="-3"/>
          <w:kern w:val="2"/>
          <w:position w:val="22"/>
          <w:sz w:val="32"/>
          <w:szCs w:val="32"/>
        </w:rPr>
      </w:pPr>
      <w:r>
        <w:rPr>
          <w:rFonts w:hint="eastAsia" w:ascii="黑体" w:hAnsi="黑体" w:eastAsia="黑体" w:cs="仿宋"/>
          <w:b/>
          <w:bCs/>
          <w:spacing w:val="-3"/>
          <w:kern w:val="2"/>
          <w:position w:val="22"/>
          <w:sz w:val="32"/>
          <w:szCs w:val="32"/>
        </w:rPr>
        <w:t>七、社会保险基金预算支出情况</w:t>
      </w:r>
    </w:p>
    <w:p>
      <w:pPr>
        <w:pStyle w:val="4"/>
        <w:shd w:val="clear" w:color="auto" w:fill="FFFFFF"/>
        <w:adjustRightInd w:val="0"/>
        <w:snapToGrid w:val="0"/>
        <w:ind w:firstLine="628" w:firstLineChars="200"/>
        <w:rPr>
          <w:rFonts w:hint="eastAsia" w:ascii="黑体" w:hAnsi="黑体" w:eastAsia="黑体" w:cs="仿宋"/>
          <w:b/>
          <w:bCs/>
          <w:spacing w:val="-3"/>
          <w:kern w:val="2"/>
          <w:position w:val="22"/>
          <w:sz w:val="32"/>
          <w:szCs w:val="32"/>
        </w:rPr>
      </w:pPr>
      <w:r>
        <w:rPr>
          <w:rFonts w:hint="eastAsia" w:ascii="仿宋" w:hAnsi="仿宋" w:eastAsia="仿宋"/>
          <w:spacing w:val="-3"/>
          <w:kern w:val="2"/>
          <w:position w:val="22"/>
          <w:sz w:val="32"/>
          <w:szCs w:val="32"/>
        </w:rPr>
        <w:t>无</w:t>
      </w:r>
    </w:p>
    <w:p>
      <w:pPr>
        <w:pStyle w:val="4"/>
        <w:shd w:val="clear" w:color="auto" w:fill="FFFFFF"/>
        <w:adjustRightInd w:val="0"/>
        <w:snapToGrid w:val="0"/>
        <w:ind w:firstLine="631" w:firstLineChars="200"/>
        <w:rPr>
          <w:rFonts w:hint="eastAsia" w:ascii="黑体" w:hAnsi="黑体" w:eastAsia="黑体" w:cs="仿宋"/>
          <w:b/>
          <w:bCs/>
          <w:spacing w:val="-3"/>
          <w:kern w:val="2"/>
          <w:position w:val="22"/>
          <w:sz w:val="32"/>
          <w:szCs w:val="32"/>
        </w:rPr>
      </w:pPr>
      <w:r>
        <w:rPr>
          <w:rFonts w:hint="eastAsia" w:ascii="黑体" w:hAnsi="黑体" w:eastAsia="黑体" w:cs="仿宋"/>
          <w:b/>
          <w:bCs/>
          <w:spacing w:val="-3"/>
          <w:kern w:val="2"/>
          <w:position w:val="22"/>
          <w:sz w:val="32"/>
          <w:szCs w:val="32"/>
        </w:rPr>
        <w:t>八、部门整体支出绩效情况</w:t>
      </w:r>
    </w:p>
    <w:p>
      <w:pPr>
        <w:pStyle w:val="4"/>
        <w:shd w:val="clear" w:color="auto" w:fill="FFFFFF"/>
        <w:adjustRightInd w:val="0"/>
        <w:snapToGrid w:val="0"/>
        <w:ind w:firstLine="628" w:firstLineChars="200"/>
        <w:rPr>
          <w:rFonts w:hint="eastAsia" w:ascii="黑体" w:hAnsi="黑体" w:eastAsia="黑体" w:cs="仿宋"/>
          <w:b/>
          <w:bCs/>
          <w:spacing w:val="-3"/>
          <w:kern w:val="2"/>
          <w:position w:val="22"/>
          <w:sz w:val="32"/>
          <w:szCs w:val="32"/>
        </w:rPr>
      </w:pPr>
      <w:r>
        <w:rPr>
          <w:rFonts w:hint="eastAsia" w:ascii="仿宋" w:hAnsi="仿宋" w:eastAsia="仿宋"/>
          <w:spacing w:val="-3"/>
          <w:kern w:val="2"/>
          <w:position w:val="22"/>
          <w:sz w:val="32"/>
          <w:szCs w:val="32"/>
        </w:rPr>
        <w:t>2021年，根据分局年初工作计划，全面完成了年度工作目标。通过加强预算收支的管理，不断建立健全内部管理制度，理顺内部管理流程，部门整体支出管理情况得到了提升,大环保工作合力显著增强，生态环境质量稳步提升,环境违法行为得到震慑。</w:t>
      </w:r>
    </w:p>
    <w:p>
      <w:pPr>
        <w:pStyle w:val="4"/>
        <w:shd w:val="clear" w:color="auto" w:fill="FFFFFF"/>
        <w:adjustRightInd w:val="0"/>
        <w:snapToGrid w:val="0"/>
        <w:ind w:firstLine="628" w:firstLineChars="200"/>
        <w:rPr>
          <w:rFonts w:hint="eastAsia" w:ascii="仿宋" w:hAnsi="仿宋" w:eastAsia="仿宋"/>
          <w:spacing w:val="-3"/>
          <w:kern w:val="2"/>
          <w:position w:val="22"/>
          <w:sz w:val="32"/>
          <w:szCs w:val="32"/>
        </w:rPr>
      </w:pPr>
      <w:r>
        <w:rPr>
          <w:rFonts w:hint="eastAsia" w:ascii="仿宋" w:hAnsi="仿宋" w:eastAsia="仿宋"/>
          <w:spacing w:val="-3"/>
          <w:kern w:val="2"/>
          <w:position w:val="22"/>
          <w:sz w:val="32"/>
          <w:szCs w:val="32"/>
        </w:rPr>
        <w:t xml:space="preserve">1、经济性评价。预算配置控制较好，财政供养人员控制在预算编制以内，编制内在职人员控制率≦100%。切实做好厉行节约工作，努力降低行政成本。严格公务接待费、差旅费、会议费和培训费审核审批程序，加强对公务用车的管理，实行限额把关，会议费和培训费严格按年初计划和制度规定的标准执行，“三公”经费较好地控制在预算范围之内。 </w:t>
      </w:r>
    </w:p>
    <w:p>
      <w:pPr>
        <w:pStyle w:val="4"/>
        <w:shd w:val="clear" w:color="auto" w:fill="FFFFFF"/>
        <w:adjustRightInd w:val="0"/>
        <w:snapToGrid w:val="0"/>
        <w:ind w:firstLine="628" w:firstLineChars="200"/>
        <w:rPr>
          <w:rFonts w:hint="eastAsia" w:ascii="仿宋" w:hAnsi="仿宋" w:eastAsia="仿宋"/>
          <w:spacing w:val="-3"/>
          <w:kern w:val="2"/>
          <w:position w:val="22"/>
          <w:sz w:val="32"/>
          <w:szCs w:val="32"/>
        </w:rPr>
      </w:pPr>
      <w:r>
        <w:rPr>
          <w:rFonts w:hint="eastAsia" w:ascii="仿宋" w:hAnsi="仿宋" w:eastAsia="仿宋"/>
          <w:spacing w:val="-3"/>
          <w:kern w:val="2"/>
          <w:position w:val="22"/>
          <w:sz w:val="32"/>
          <w:szCs w:val="32"/>
        </w:rPr>
        <w:t>2、效率性评价。预算安排的基本支出基本保障了岳麓生态环保系统正常的工作运转，体现了市委市政府、岳麓区委区政府对环保工作的关心和重视，预算安排的项目严格按相关规定执行，在项目资金的使用上也严格按照财务制度执行。预算执行到位，支出总额控制在预算总额以内，全年无截留或滞留项目资金情况；全年没有新建楼堂馆所；凡单位购买属于政府采购范围内的货物、工程和服务，严格遵守政府采购相关法律法规的规定并办理相关审批手续。</w:t>
      </w:r>
    </w:p>
    <w:p>
      <w:pPr>
        <w:pStyle w:val="4"/>
        <w:shd w:val="clear" w:color="auto" w:fill="FFFFFF"/>
        <w:adjustRightInd w:val="0"/>
        <w:snapToGrid w:val="0"/>
        <w:ind w:firstLine="628" w:firstLineChars="200"/>
        <w:rPr>
          <w:rFonts w:hint="eastAsia" w:ascii="仿宋" w:hAnsi="仿宋" w:eastAsia="仿宋"/>
          <w:spacing w:val="-3"/>
          <w:kern w:val="2"/>
          <w:position w:val="22"/>
          <w:sz w:val="32"/>
          <w:szCs w:val="32"/>
        </w:rPr>
      </w:pPr>
      <w:r>
        <w:rPr>
          <w:rFonts w:hint="eastAsia" w:ascii="仿宋" w:hAnsi="仿宋" w:eastAsia="仿宋"/>
          <w:spacing w:val="-3"/>
          <w:kern w:val="2"/>
          <w:position w:val="22"/>
          <w:sz w:val="32"/>
          <w:szCs w:val="32"/>
        </w:rPr>
        <w:t xml:space="preserve"> 3、有效性评价和可持续性评价。2021年，岳麓区分局坚持以习近平生态文明思想为指导，在市委市政府坚强领导下，在岳麓区各级各部门支持配合下，我们奋力担当作为，持续深入打好污染防治攻坚战，取得了2021年度环保考核排名内五区一类，实现了区域环境质量稳中有进。</w:t>
      </w:r>
    </w:p>
    <w:p>
      <w:pPr>
        <w:pStyle w:val="4"/>
        <w:shd w:val="clear" w:color="auto" w:fill="FFFFFF"/>
        <w:adjustRightInd w:val="0"/>
        <w:snapToGrid w:val="0"/>
        <w:ind w:firstLine="632" w:firstLineChars="200"/>
        <w:rPr>
          <w:rFonts w:hint="eastAsia" w:ascii="仿宋" w:hAnsi="仿宋" w:eastAsia="仿宋"/>
          <w:spacing w:val="-3"/>
          <w:kern w:val="2"/>
          <w:position w:val="22"/>
          <w:sz w:val="32"/>
          <w:szCs w:val="32"/>
        </w:rPr>
      </w:pPr>
      <w:r>
        <w:rPr>
          <w:rFonts w:hint="eastAsia" w:ascii="黑体" w:hAnsi="黑体" w:eastAsia="黑体"/>
          <w:spacing w:val="-2"/>
          <w:sz w:val="32"/>
          <w:szCs w:val="32"/>
        </w:rPr>
        <w:t>九、存在的问题及原因分析</w:t>
      </w:r>
    </w:p>
    <w:p>
      <w:pPr>
        <w:pStyle w:val="4"/>
        <w:shd w:val="clear" w:color="auto" w:fill="FFFFFF"/>
        <w:adjustRightInd w:val="0"/>
        <w:snapToGrid w:val="0"/>
        <w:ind w:firstLine="628" w:firstLineChars="200"/>
        <w:rPr>
          <w:rFonts w:hint="eastAsia" w:ascii="仿宋" w:hAnsi="仿宋" w:eastAsia="仿宋"/>
          <w:spacing w:val="-3"/>
          <w:kern w:val="2"/>
          <w:position w:val="22"/>
          <w:sz w:val="32"/>
          <w:szCs w:val="32"/>
        </w:rPr>
      </w:pPr>
      <w:r>
        <w:rPr>
          <w:rFonts w:hint="eastAsia" w:ascii="仿宋" w:hAnsi="仿宋" w:eastAsia="仿宋"/>
          <w:spacing w:val="-3"/>
          <w:kern w:val="2"/>
          <w:position w:val="22"/>
          <w:sz w:val="32"/>
          <w:szCs w:val="32"/>
        </w:rPr>
        <w:t>1、年初编制的预算精准度有待进一步提高。</w:t>
      </w:r>
    </w:p>
    <w:p>
      <w:pPr>
        <w:pStyle w:val="4"/>
        <w:shd w:val="clear" w:color="auto" w:fill="FFFFFF"/>
        <w:adjustRightInd w:val="0"/>
        <w:snapToGrid w:val="0"/>
        <w:ind w:firstLine="628" w:firstLineChars="200"/>
        <w:rPr>
          <w:rFonts w:hint="eastAsia" w:ascii="仿宋" w:hAnsi="仿宋" w:eastAsia="仿宋"/>
          <w:spacing w:val="-3"/>
          <w:kern w:val="2"/>
          <w:position w:val="22"/>
          <w:sz w:val="32"/>
          <w:szCs w:val="32"/>
        </w:rPr>
      </w:pPr>
      <w:r>
        <w:rPr>
          <w:rFonts w:hint="eastAsia" w:ascii="仿宋" w:hAnsi="仿宋" w:eastAsia="仿宋"/>
          <w:spacing w:val="-3"/>
          <w:kern w:val="2"/>
          <w:position w:val="22"/>
          <w:sz w:val="32"/>
          <w:szCs w:val="32"/>
        </w:rPr>
        <w:t>2、项目绩效评价工作能力有待进一步提高。</w:t>
      </w:r>
    </w:p>
    <w:p>
      <w:pPr>
        <w:pStyle w:val="4"/>
        <w:shd w:val="clear" w:color="auto" w:fill="FFFFFF"/>
        <w:adjustRightInd w:val="0"/>
        <w:snapToGrid w:val="0"/>
        <w:ind w:firstLine="628" w:firstLineChars="200"/>
        <w:rPr>
          <w:rFonts w:hint="eastAsia" w:ascii="仿宋" w:hAnsi="仿宋" w:eastAsia="仿宋"/>
          <w:spacing w:val="-3"/>
          <w:kern w:val="2"/>
          <w:position w:val="22"/>
          <w:sz w:val="32"/>
          <w:szCs w:val="32"/>
        </w:rPr>
      </w:pPr>
      <w:r>
        <w:rPr>
          <w:rFonts w:hint="eastAsia" w:ascii="仿宋" w:hAnsi="仿宋" w:eastAsia="仿宋"/>
          <w:spacing w:val="-3"/>
          <w:kern w:val="2"/>
          <w:position w:val="22"/>
          <w:sz w:val="32"/>
          <w:szCs w:val="32"/>
        </w:rPr>
        <w:t>3、为区域生态环境保护服务水平有待进一步提升。</w:t>
      </w:r>
    </w:p>
    <w:p>
      <w:pPr>
        <w:spacing w:before="206" w:line="590" w:lineRule="exact"/>
        <w:ind w:firstLine="644"/>
        <w:rPr>
          <w:rFonts w:hint="eastAsia" w:ascii="黑体" w:hAnsi="黑体" w:eastAsia="黑体"/>
          <w:spacing w:val="-1"/>
          <w:position w:val="19"/>
          <w:sz w:val="32"/>
          <w:szCs w:val="32"/>
        </w:rPr>
      </w:pPr>
      <w:r>
        <w:rPr>
          <w:rFonts w:hint="eastAsia" w:ascii="黑体" w:hAnsi="黑体" w:eastAsia="黑体"/>
          <w:spacing w:val="-1"/>
          <w:position w:val="19"/>
          <w:sz w:val="32"/>
          <w:szCs w:val="32"/>
        </w:rPr>
        <w:t>十、下一步改进措施</w:t>
      </w:r>
    </w:p>
    <w:p>
      <w:pPr>
        <w:ind w:firstLine="628" w:firstLineChars="200"/>
        <w:rPr>
          <w:rFonts w:hint="eastAsia" w:ascii="仿宋" w:hAnsi="仿宋" w:eastAsia="仿宋"/>
          <w:spacing w:val="-3"/>
          <w:kern w:val="2"/>
          <w:position w:val="22"/>
          <w:sz w:val="32"/>
          <w:szCs w:val="32"/>
        </w:rPr>
      </w:pPr>
      <w:r>
        <w:rPr>
          <w:rFonts w:hint="eastAsia" w:ascii="仿宋" w:hAnsi="仿宋" w:eastAsia="仿宋"/>
          <w:spacing w:val="-3"/>
          <w:kern w:val="2"/>
          <w:position w:val="22"/>
          <w:sz w:val="32"/>
          <w:szCs w:val="32"/>
        </w:rPr>
        <w:t xml:space="preserve">1、细化预算编制，提高预算科学。在预算管理和绩效评价过程中，需加强全系统内设机构的协调联动，并加强与财政部门的沟通和协调。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 </w:t>
      </w:r>
    </w:p>
    <w:p>
      <w:pPr>
        <w:ind w:firstLine="628" w:firstLineChars="200"/>
        <w:rPr>
          <w:rFonts w:hint="eastAsia" w:ascii="仿宋" w:hAnsi="仿宋" w:eastAsia="仿宋"/>
          <w:spacing w:val="-3"/>
          <w:kern w:val="2"/>
          <w:position w:val="22"/>
          <w:sz w:val="32"/>
          <w:szCs w:val="32"/>
        </w:rPr>
      </w:pPr>
      <w:r>
        <w:rPr>
          <w:rFonts w:hint="eastAsia" w:ascii="仿宋" w:hAnsi="仿宋" w:eastAsia="仿宋"/>
          <w:spacing w:val="-3"/>
          <w:kern w:val="2"/>
          <w:position w:val="22"/>
          <w:sz w:val="32"/>
          <w:szCs w:val="32"/>
        </w:rPr>
        <w:t>2、完善资产管理，抓好经费控制。严格编制政府采购年初预算和计划，规范各类资产的购置审批制度、资产台账和收入管理制度、资产采购制度、使用管理制度、资产处置和报废审批制度、资产管理岗位职责制度等，加强单位内部的资产管理工作。</w:t>
      </w:r>
    </w:p>
    <w:p>
      <w:pPr>
        <w:ind w:firstLine="628" w:firstLineChars="200"/>
        <w:rPr>
          <w:rFonts w:hint="eastAsia" w:ascii="仿宋" w:hAnsi="仿宋" w:eastAsia="仿宋"/>
          <w:spacing w:val="-3"/>
          <w:kern w:val="2"/>
          <w:position w:val="22"/>
          <w:sz w:val="32"/>
          <w:szCs w:val="32"/>
        </w:rPr>
      </w:pPr>
      <w:r>
        <w:rPr>
          <w:rFonts w:hint="eastAsia" w:ascii="仿宋" w:hAnsi="仿宋" w:eastAsia="仿宋"/>
          <w:spacing w:val="-3"/>
          <w:kern w:val="2"/>
          <w:position w:val="22"/>
          <w:sz w:val="32"/>
          <w:szCs w:val="32"/>
        </w:rPr>
        <w:t>3、加强业务学习，通过参加培训、自学等方式不断加强分局财务工作者的业务能力和业务素质的提升，为区域的生态环保工作提供优质服务。</w:t>
      </w:r>
    </w:p>
    <w:p>
      <w:pPr>
        <w:ind w:firstLine="628" w:firstLineChars="200"/>
        <w:rPr>
          <w:rFonts w:hint="eastAsia" w:ascii="仿宋" w:hAnsi="仿宋" w:eastAsia="仿宋"/>
          <w:spacing w:val="-3"/>
          <w:kern w:val="2"/>
          <w:position w:val="22"/>
          <w:sz w:val="32"/>
          <w:szCs w:val="32"/>
        </w:rPr>
      </w:pPr>
      <w:r>
        <w:rPr>
          <w:rFonts w:hint="eastAsia" w:ascii="仿宋" w:hAnsi="仿宋" w:eastAsia="仿宋"/>
          <w:spacing w:val="-3"/>
          <w:kern w:val="2"/>
          <w:position w:val="22"/>
          <w:sz w:val="32"/>
          <w:szCs w:val="32"/>
        </w:rPr>
        <w:t>4、进一步发挥预算的绩效作用，要通过绩效评价不断发挥各个预算项目的绩效作用，按照财务制度发挥项目资金的作用，为区域环境提升提供坚强保障。</w:t>
      </w:r>
    </w:p>
    <w:p>
      <w:pPr>
        <w:spacing w:before="206" w:line="590" w:lineRule="exact"/>
        <w:ind w:firstLine="644"/>
        <w:rPr>
          <w:rFonts w:hint="eastAsia" w:ascii="黑体" w:hAnsi="黑体" w:eastAsia="黑体"/>
          <w:spacing w:val="-1"/>
          <w:position w:val="19"/>
          <w:sz w:val="32"/>
          <w:szCs w:val="32"/>
        </w:rPr>
      </w:pPr>
      <w:r>
        <w:rPr>
          <w:rFonts w:hint="eastAsia" w:ascii="黑体" w:hAnsi="黑体" w:eastAsia="黑体"/>
          <w:spacing w:val="-1"/>
          <w:position w:val="19"/>
          <w:sz w:val="32"/>
          <w:szCs w:val="32"/>
        </w:rPr>
        <w:t>十一、绩效自评结果拟应用和公开情况</w:t>
      </w:r>
    </w:p>
    <w:p>
      <w:pPr>
        <w:ind w:firstLine="628" w:firstLineChars="200"/>
        <w:rPr>
          <w:rFonts w:hint="eastAsia" w:ascii="仿宋" w:hAnsi="仿宋" w:eastAsia="仿宋"/>
          <w:spacing w:val="-3"/>
          <w:position w:val="22"/>
          <w:sz w:val="32"/>
          <w:szCs w:val="32"/>
        </w:rPr>
      </w:pPr>
      <w:r>
        <w:rPr>
          <w:rFonts w:hint="eastAsia" w:ascii="仿宋" w:hAnsi="仿宋" w:eastAsia="仿宋"/>
          <w:spacing w:val="-3"/>
          <w:position w:val="22"/>
          <w:sz w:val="32"/>
          <w:szCs w:val="32"/>
        </w:rPr>
        <w:t>绩效自评结果出来后，积极按要求整改，在2022年预算执行过程中贯彻执行，并将绩效自评报告按政策在相关网站及时公开。</w:t>
      </w:r>
    </w:p>
    <w:p>
      <w:pPr>
        <w:spacing w:before="206" w:line="590" w:lineRule="exact"/>
        <w:ind w:firstLine="644"/>
        <w:rPr>
          <w:rFonts w:hint="eastAsia" w:ascii="黑体" w:hAnsi="黑体" w:eastAsia="黑体"/>
          <w:spacing w:val="-1"/>
          <w:position w:val="19"/>
          <w:sz w:val="32"/>
          <w:szCs w:val="32"/>
        </w:rPr>
      </w:pPr>
      <w:r>
        <w:rPr>
          <w:rFonts w:hint="eastAsia" w:ascii="黑体" w:hAnsi="黑体" w:eastAsia="黑体"/>
          <w:spacing w:val="-1"/>
          <w:position w:val="19"/>
          <w:sz w:val="32"/>
          <w:szCs w:val="32"/>
        </w:rPr>
        <w:t>其他需要说明的情况：</w:t>
      </w:r>
    </w:p>
    <w:p>
      <w:pPr>
        <w:spacing w:before="206" w:line="590" w:lineRule="exact"/>
        <w:ind w:firstLine="644"/>
        <w:rPr>
          <w:rFonts w:hint="eastAsia" w:ascii="仿宋" w:hAnsi="仿宋" w:eastAsia="仿宋"/>
          <w:spacing w:val="-1"/>
          <w:position w:val="19"/>
          <w:sz w:val="32"/>
          <w:szCs w:val="32"/>
        </w:rPr>
      </w:pPr>
      <w:r>
        <w:rPr>
          <w:rFonts w:hint="eastAsia" w:ascii="黑体" w:hAnsi="黑体" w:eastAsia="黑体"/>
          <w:spacing w:val="-1"/>
          <w:position w:val="19"/>
          <w:sz w:val="32"/>
          <w:szCs w:val="32"/>
        </w:rPr>
        <w:t xml:space="preserve"> </w:t>
      </w:r>
      <w:r>
        <w:rPr>
          <w:rFonts w:hint="eastAsia" w:ascii="仿宋" w:hAnsi="仿宋" w:eastAsia="仿宋"/>
          <w:spacing w:val="-1"/>
          <w:position w:val="19"/>
          <w:sz w:val="32"/>
          <w:szCs w:val="32"/>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zMjZhZGZlZTMzOTUzYTJlYWJjNTdiOGEyNDJhM2QifQ=="/>
  </w:docVars>
  <w:rsids>
    <w:rsidRoot w:val="00492F35"/>
    <w:rsid w:val="00492F35"/>
    <w:rsid w:val="00922BAF"/>
    <w:rsid w:val="01B5013F"/>
    <w:rsid w:val="16F42543"/>
    <w:rsid w:val="19F65454"/>
    <w:rsid w:val="466B463D"/>
    <w:rsid w:val="6A440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semiHidden/>
    <w:unhideWhenUsed/>
    <w:uiPriority w:val="99"/>
    <w:pPr>
      <w:spacing w:after="120"/>
      <w:ind w:left="420" w:leftChars="200"/>
    </w:pPr>
  </w:style>
  <w:style w:type="paragraph" w:styleId="3">
    <w:name w:val="Plain Text"/>
    <w:basedOn w:val="1"/>
    <w:link w:val="8"/>
    <w:semiHidden/>
    <w:unhideWhenUsed/>
    <w:qFormat/>
    <w:uiPriority w:val="99"/>
    <w:pPr>
      <w:widowControl w:val="0"/>
      <w:jc w:val="both"/>
    </w:pPr>
    <w:rPr>
      <w:rFonts w:hAnsi="Courier New" w:cs="Courier New"/>
      <w:kern w:val="2"/>
      <w:sz w:val="21"/>
      <w:szCs w:val="21"/>
    </w:rPr>
  </w:style>
  <w:style w:type="paragraph" w:styleId="4">
    <w:name w:val="Normal (Web)"/>
    <w:basedOn w:val="1"/>
    <w:semiHidden/>
    <w:unhideWhenUsed/>
    <w:qFormat/>
    <w:uiPriority w:val="99"/>
    <w:pPr>
      <w:spacing w:before="100" w:beforeAutospacing="1" w:after="100" w:afterAutospacing="1"/>
    </w:pPr>
  </w:style>
  <w:style w:type="paragraph" w:styleId="5">
    <w:name w:val="Body Text First Indent 2"/>
    <w:basedOn w:val="2"/>
    <w:link w:val="10"/>
    <w:semiHidden/>
    <w:unhideWhenUsed/>
    <w:uiPriority w:val="99"/>
    <w:pPr>
      <w:widowControl w:val="0"/>
      <w:spacing w:before="100" w:beforeAutospacing="1"/>
      <w:ind w:firstLine="420" w:firstLineChars="200"/>
      <w:jc w:val="both"/>
    </w:pPr>
    <w:rPr>
      <w:rFonts w:ascii="Times New Roman" w:hAnsi="Times New Roman" w:cs="Times New Roman"/>
      <w:kern w:val="2"/>
      <w:sz w:val="21"/>
      <w:szCs w:val="21"/>
    </w:rPr>
  </w:style>
  <w:style w:type="character" w:customStyle="1" w:styleId="8">
    <w:name w:val="纯文本 Char"/>
    <w:basedOn w:val="7"/>
    <w:link w:val="3"/>
    <w:semiHidden/>
    <w:qFormat/>
    <w:uiPriority w:val="99"/>
    <w:rPr>
      <w:rFonts w:ascii="宋体" w:hAnsi="Courier New" w:eastAsia="宋体" w:cs="Courier New"/>
      <w:szCs w:val="21"/>
    </w:rPr>
  </w:style>
  <w:style w:type="character" w:customStyle="1" w:styleId="9">
    <w:name w:val="正文文本缩进 Char"/>
    <w:basedOn w:val="7"/>
    <w:link w:val="2"/>
    <w:semiHidden/>
    <w:uiPriority w:val="99"/>
    <w:rPr>
      <w:rFonts w:ascii="宋体" w:hAnsi="宋体" w:eastAsia="宋体" w:cs="宋体"/>
      <w:kern w:val="0"/>
      <w:sz w:val="24"/>
      <w:szCs w:val="24"/>
    </w:rPr>
  </w:style>
  <w:style w:type="character" w:customStyle="1" w:styleId="10">
    <w:name w:val="正文首行缩进 2 Char"/>
    <w:basedOn w:val="9"/>
    <w:link w:val="5"/>
    <w:semiHidden/>
    <w:uiPriority w:val="99"/>
    <w:rPr>
      <w:rFonts w:ascii="Times New Roman" w:hAnsi="Times New Roman"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4354</Words>
  <Characters>4723</Characters>
  <Lines>35</Lines>
  <Paragraphs>9</Paragraphs>
  <TotalTime>4</TotalTime>
  <ScaleCrop>false</ScaleCrop>
  <LinksUpToDate>false</LinksUpToDate>
  <CharactersWithSpaces>4798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2022-10-08T09:33:00Z</dcterms:created>
  <dc:creator>lenovo</dc:creator>
  <cp:lastModifiedBy>熊春兰</cp:lastModifiedBy>
  <dcterms:modified xsi:type="dcterms:W3CDTF">2023-10-26T02:06:53Z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3487BF73E70843ED967AACF8834B264A</vt:lpwstr>
  </property>
</Properties>
</file>