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黑体" w:cs="黑体"/>
          <w:sz w:val="28"/>
          <w:szCs w:val="28"/>
        </w:rPr>
      </w:pPr>
      <w:bookmarkStart w:id="0" w:name="_GoBack"/>
      <w:bookmarkEnd w:id="0"/>
      <w:r>
        <w:rPr>
          <w:rFonts w:hint="eastAsia" w:ascii="宋体" w:hAnsi="宋体" w:eastAsia="黑体" w:cs="黑体"/>
          <w:sz w:val="28"/>
          <w:szCs w:val="28"/>
        </w:rPr>
        <w:t>附件3</w:t>
      </w:r>
    </w:p>
    <w:p>
      <w:pPr>
        <w:spacing w:line="600" w:lineRule="exact"/>
        <w:jc w:val="center"/>
        <w:rPr>
          <w:rFonts w:hint="eastAsia" w:ascii="宋体" w:hAnsi="宋体" w:eastAsia="方正小标宋简体"/>
          <w:sz w:val="42"/>
          <w:szCs w:val="42"/>
        </w:rPr>
      </w:pPr>
    </w:p>
    <w:p>
      <w:pPr>
        <w:spacing w:line="600" w:lineRule="exact"/>
        <w:jc w:val="center"/>
        <w:rPr>
          <w:rFonts w:hint="eastAsia" w:ascii="宋体" w:hAnsi="宋体" w:eastAsia="方正小标宋简体"/>
          <w:sz w:val="42"/>
          <w:szCs w:val="42"/>
        </w:rPr>
      </w:pP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岳麓区20</w:t>
      </w:r>
      <w:r>
        <w:rPr>
          <w:rFonts w:hint="eastAsia" w:ascii="宋体" w:hAnsi="宋体" w:eastAsia="方正小标宋简体"/>
          <w:sz w:val="46"/>
          <w:szCs w:val="46"/>
          <w:lang w:val="en-US" w:eastAsia="zh-CN"/>
        </w:rPr>
        <w:t>21</w:t>
      </w:r>
      <w:r>
        <w:rPr>
          <w:rFonts w:hint="eastAsia" w:ascii="宋体" w:hAnsi="宋体" w:eastAsia="方正小标宋简体"/>
          <w:sz w:val="46"/>
          <w:szCs w:val="46"/>
        </w:rPr>
        <w:t>年度部门（单位）整体支出</w:t>
      </w: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绩效评价自评报告</w:t>
      </w:r>
    </w:p>
    <w:p>
      <w:pPr>
        <w:rPr>
          <w:rFonts w:hint="eastAsia" w:ascii="宋体" w:hAnsi="宋体" w:eastAsia="仿宋_GB2312"/>
          <w:sz w:val="32"/>
        </w:rPr>
      </w:pPr>
    </w:p>
    <w:p>
      <w:pPr>
        <w:rPr>
          <w:rFonts w:hint="eastAsia" w:ascii="宋体" w:hAnsi="宋体" w:eastAsia="仿宋_GB2312"/>
          <w:sz w:val="32"/>
        </w:rPr>
      </w:pPr>
    </w:p>
    <w:p>
      <w:pPr>
        <w:spacing w:before="156" w:beforeLines="50" w:line="348" w:lineRule="auto"/>
        <w:ind w:firstLine="480" w:firstLineChars="150"/>
        <w:rPr>
          <w:rFonts w:hint="eastAsia" w:ascii="宋体" w:hAnsi="宋体" w:eastAsia="仿宋_GB2312"/>
          <w:sz w:val="32"/>
          <w:u w:val="single"/>
        </w:rPr>
      </w:pPr>
      <w:r>
        <w:rPr>
          <w:rFonts w:hint="eastAsia" w:ascii="宋体" w:hAnsi="宋体" w:eastAsia="仿宋_GB2312"/>
          <w:sz w:val="32"/>
        </w:rPr>
        <w:t>部门(单位)名称</w:t>
      </w:r>
      <w:r>
        <w:rPr>
          <w:rFonts w:hint="eastAsia" w:ascii="宋体" w:hAnsi="宋体" w:eastAsia="仿宋_GB2312"/>
          <w:sz w:val="32"/>
          <w:u w:val="single"/>
        </w:rPr>
        <w:t xml:space="preserve">   </w:t>
      </w:r>
      <w:r>
        <w:rPr>
          <w:rFonts w:hint="eastAsia" w:ascii="宋体" w:hAnsi="宋体" w:eastAsia="仿宋_GB2312"/>
          <w:sz w:val="32"/>
          <w:u w:val="single"/>
          <w:lang w:eastAsia="zh-CN"/>
        </w:rPr>
        <w:t>长沙市岳麓区医疗保障局</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预算编码</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726</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 xml:space="preserve">部门（单位）评价组   </w:t>
      </w: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rPr>
      </w:pPr>
      <w:r>
        <w:rPr>
          <w:rFonts w:hint="eastAsia" w:ascii="宋体" w:hAnsi="宋体" w:eastAsia="仿宋_GB2312"/>
          <w:sz w:val="32"/>
        </w:rPr>
        <w:t>单位负责人（签章）：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项目负责人（签章）：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报告填报人（签章）：</w:t>
      </w:r>
    </w:p>
    <w:p>
      <w:pPr>
        <w:spacing w:line="348" w:lineRule="auto"/>
        <w:ind w:firstLine="3648" w:firstLineChars="1140"/>
        <w:rPr>
          <w:rFonts w:hint="eastAsia" w:ascii="宋体" w:hAnsi="宋体" w:eastAsia="仿宋_GB2312"/>
          <w:sz w:val="32"/>
        </w:rPr>
      </w:pPr>
    </w:p>
    <w:p>
      <w:pPr>
        <w:autoSpaceDN w:val="0"/>
        <w:jc w:val="center"/>
        <w:textAlignment w:val="center"/>
        <w:rPr>
          <w:rFonts w:hint="eastAsia" w:ascii="宋体" w:hAnsi="宋体" w:eastAsia="仿宋_GB2312"/>
          <w:sz w:val="32"/>
          <w:szCs w:val="32"/>
        </w:rPr>
      </w:pPr>
      <w:r>
        <w:rPr>
          <w:rFonts w:hint="eastAsia" w:ascii="宋体" w:hAnsi="宋体" w:eastAsia="仿宋_GB2312"/>
          <w:sz w:val="32"/>
        </w:rPr>
        <w:t xml:space="preserve">                  部门名称（加盖公章）</w:t>
      </w:r>
    </w:p>
    <w:p>
      <w:pPr>
        <w:spacing w:line="348" w:lineRule="auto"/>
        <w:ind w:firstLine="3648" w:firstLineChars="1140"/>
        <w:rPr>
          <w:rFonts w:hint="eastAsia" w:ascii="宋体" w:hAnsi="宋体" w:eastAsia="仿宋_GB2312"/>
          <w:sz w:val="32"/>
        </w:rPr>
      </w:pPr>
    </w:p>
    <w:p>
      <w:pPr>
        <w:spacing w:line="348" w:lineRule="auto"/>
        <w:ind w:firstLine="3648" w:firstLineChars="1140"/>
        <w:rPr>
          <w:rFonts w:hint="eastAsia" w:ascii="宋体" w:hAnsi="宋体" w:eastAsia="仿宋_GB2312"/>
          <w:sz w:val="32"/>
        </w:rPr>
      </w:pPr>
      <w:r>
        <w:rPr>
          <w:rFonts w:hint="eastAsia" w:ascii="宋体" w:hAnsi="宋体" w:eastAsia="仿宋_GB2312"/>
          <w:sz w:val="32"/>
        </w:rPr>
        <w:t>报告日期：</w:t>
      </w:r>
      <w:r>
        <w:rPr>
          <w:rFonts w:hint="eastAsia" w:ascii="宋体" w:hAnsi="宋体" w:eastAsia="仿宋_GB2312"/>
          <w:sz w:val="32"/>
          <w:lang w:val="en-US" w:eastAsia="zh-CN"/>
        </w:rPr>
        <w:t>2022</w:t>
      </w:r>
      <w:r>
        <w:rPr>
          <w:rFonts w:hint="eastAsia" w:ascii="宋体" w:hAnsi="宋体" w:eastAsia="仿宋_GB2312"/>
          <w:sz w:val="32"/>
        </w:rPr>
        <w:t>年</w:t>
      </w:r>
      <w:r>
        <w:rPr>
          <w:rFonts w:hint="eastAsia" w:ascii="宋体" w:hAnsi="宋体" w:eastAsia="仿宋_GB2312"/>
          <w:sz w:val="32"/>
          <w:lang w:val="en-US" w:eastAsia="zh-CN"/>
        </w:rPr>
        <w:t>2</w:t>
      </w:r>
      <w:r>
        <w:rPr>
          <w:rFonts w:hint="eastAsia" w:ascii="宋体" w:hAnsi="宋体" w:eastAsia="仿宋_GB2312"/>
          <w:sz w:val="32"/>
        </w:rPr>
        <w:t>月</w:t>
      </w:r>
      <w:r>
        <w:rPr>
          <w:rFonts w:hint="eastAsia" w:ascii="宋体" w:hAnsi="宋体" w:eastAsia="仿宋_GB2312"/>
          <w:sz w:val="32"/>
          <w:lang w:val="en-US" w:eastAsia="zh-CN"/>
        </w:rPr>
        <w:t>18</w:t>
      </w:r>
      <w:r>
        <w:rPr>
          <w:rFonts w:hint="eastAsia" w:ascii="宋体" w:hAnsi="宋体" w:eastAsia="仿宋_GB2312"/>
          <w:sz w:val="32"/>
        </w:rPr>
        <w:t>日</w:t>
      </w:r>
    </w:p>
    <w:p>
      <w:pPr>
        <w:spacing w:line="560" w:lineRule="exact"/>
        <w:jc w:val="center"/>
        <w:rPr>
          <w:rFonts w:hint="eastAsia" w:ascii="仿宋" w:hAnsi="仿宋" w:eastAsia="仿宋" w:cs="仿宋"/>
          <w:kern w:val="0"/>
          <w:sz w:val="40"/>
          <w:szCs w:val="40"/>
        </w:rPr>
      </w:pPr>
    </w:p>
    <w:p>
      <w:pPr>
        <w:spacing w:line="560" w:lineRule="exact"/>
        <w:jc w:val="center"/>
        <w:rPr>
          <w:rFonts w:hint="eastAsia" w:eastAsia="方正小标宋简体"/>
          <w:kern w:val="0"/>
          <w:sz w:val="40"/>
          <w:szCs w:val="40"/>
        </w:rPr>
      </w:pPr>
      <w:r>
        <w:rPr>
          <w:rFonts w:hint="eastAsia" w:ascii="仿宋" w:hAnsi="仿宋" w:eastAsia="仿宋" w:cs="仿宋"/>
          <w:kern w:val="0"/>
          <w:sz w:val="40"/>
          <w:szCs w:val="40"/>
        </w:rPr>
        <w:t>202</w:t>
      </w:r>
      <w:r>
        <w:rPr>
          <w:rFonts w:hint="eastAsia" w:ascii="仿宋" w:hAnsi="仿宋" w:eastAsia="仿宋" w:cs="仿宋"/>
          <w:kern w:val="0"/>
          <w:sz w:val="40"/>
          <w:szCs w:val="40"/>
          <w:lang w:val="en-US" w:eastAsia="zh-CN"/>
        </w:rPr>
        <w:t>1</w:t>
      </w:r>
      <w:r>
        <w:rPr>
          <w:rFonts w:hint="eastAsia" w:eastAsia="方正小标宋简体"/>
          <w:kern w:val="0"/>
          <w:sz w:val="40"/>
          <w:szCs w:val="40"/>
        </w:rPr>
        <w:t>年度</w:t>
      </w:r>
      <w:r>
        <w:rPr>
          <w:rFonts w:eastAsia="方正小标宋简体"/>
          <w:kern w:val="0"/>
          <w:sz w:val="40"/>
          <w:szCs w:val="40"/>
        </w:rPr>
        <w:t>部门整体支出绩效</w:t>
      </w:r>
      <w:r>
        <w:rPr>
          <w:rFonts w:hint="eastAsia" w:eastAsia="方正小标宋简体"/>
          <w:kern w:val="0"/>
          <w:sz w:val="40"/>
          <w:szCs w:val="40"/>
        </w:rPr>
        <w:t>自</w:t>
      </w:r>
      <w:r>
        <w:rPr>
          <w:rFonts w:eastAsia="方正小标宋简体"/>
          <w:kern w:val="0"/>
          <w:sz w:val="40"/>
          <w:szCs w:val="40"/>
        </w:rPr>
        <w:t>评表</w:t>
      </w:r>
    </w:p>
    <w:tbl>
      <w:tblPr>
        <w:tblStyle w:val="2"/>
        <w:tblW w:w="91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36"/>
        <w:gridCol w:w="228"/>
        <w:gridCol w:w="348"/>
        <w:gridCol w:w="373"/>
        <w:gridCol w:w="955"/>
        <w:gridCol w:w="1240"/>
        <w:gridCol w:w="556"/>
        <w:gridCol w:w="654"/>
        <w:gridCol w:w="275"/>
        <w:gridCol w:w="59"/>
        <w:gridCol w:w="1430"/>
        <w:gridCol w:w="613"/>
        <w:gridCol w:w="550"/>
        <w:gridCol w:w="1"/>
        <w:gridCol w:w="511"/>
        <w:gridCol w:w="4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246" w:hRule="atLeast"/>
          <w:jc w:val="center"/>
        </w:trPr>
        <w:tc>
          <w:tcPr>
            <w:tcW w:w="1064"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部门职责</w:t>
            </w:r>
          </w:p>
        </w:tc>
        <w:tc>
          <w:tcPr>
            <w:tcW w:w="8037" w:type="dxa"/>
            <w:gridSpan w:val="14"/>
            <w:tcBorders>
              <w:top w:val="single" w:color="auto" w:sz="4" w:space="0"/>
            </w:tcBorders>
            <w:noWrap w:val="0"/>
            <w:tcMar>
              <w:top w:w="15" w:type="dxa"/>
              <w:left w:w="15" w:type="dxa"/>
              <w:bottom w:w="0" w:type="dxa"/>
              <w:right w:w="15" w:type="dxa"/>
            </w:tcMar>
            <w:vAlign w:val="center"/>
          </w:tcPr>
          <w:p>
            <w:pPr>
              <w:widowControl w:val="0"/>
              <w:numPr>
                <w:ilvl w:val="0"/>
                <w:numId w:val="1"/>
              </w:num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贯彻执行国家、省、市关于医疗保险、生育保险、医疗救助等医疗保障制度的法律法规和规章制度。</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组织实施全区医疗保险、生育保险、医疗救助等医疗保障政策、规划和标准，对全区医疗保障工作进行综合管理、监督指导、协调服务。</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组织实施全区医疗保障基金监督管理办法，监督管理相关医疗保障基金，建立健全医疗保障基金安全防控机制，推进医疗保障基金支付方式改革。</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落实全区医疗保障筹资和待遇政策，完善动态调整和区域调剂平衡机制，统筹城乡医疗保障待遇标准，建立健全与筹资水平相适应的待遇调整机制。组织实施长期护理保险等补充医疗保险制度改革方案。</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贯彻执行省、市城乡统一的药品、医用耗材，医疗服务项目、医疗服务设施等医保目录和支付标准，建立健全全区医药服务价格执行监管和信息监测制度。</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拟订由区级负责管理的药品、医用耗材的招标采购政策，指导、监督药品、医用耗材招标采购工作。</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拟订全区定点医药机构协议和支付管理办法并组织实施，建立健全医疗保障信用评价体系和信息披露制度，监督管理纳入医保范围内的医疗服务行为和医疗费用，依法查处医疗保障领域违法违规行为。</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负责区本级医疗保障经办管理。负责建立全区医疗保障公共服务体系，会同数据资源行政主管部门推进全区医疗保障信息化建设。指导和监督全区医疗保险、生育保险、医疗救助等医疗保障业务工作。执行异地就医管理和费用结算政策。建立健全医疗保障关系转移接续制度。开展医疗保障领域对外合作交流。</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完成区委、区政府交办的其他任务。</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职能转变。区医保局应完善统一的城乡居民基本医疗保险制度和大病保险制度，巩固完善城乡医疗救助制度，建立健全覆盖全民、城乡统筹的多层次医疗保障体系，不断提高医疗保障水平，确保医保资金合理使用、安全可控，推进医疗、医保、医药“三医联动”改革，更好保障人民群众就医需求、减轻医药费用负担。</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与区卫生健康局的有关职责分工，区卫生健康局、区医保局等部门在医疗、医保、医药等方面加强制度、政策衔接，建立沟通协商机制，协同推进改革，提高医疗资源使用效率和医疗保障水平。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72" w:hRule="atLeast"/>
          <w:jc w:val="center"/>
        </w:trPr>
        <w:tc>
          <w:tcPr>
            <w:tcW w:w="1064"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人员编制</w:t>
            </w:r>
          </w:p>
        </w:tc>
        <w:tc>
          <w:tcPr>
            <w:tcW w:w="4401" w:type="dxa"/>
            <w:gridSpan w:val="7"/>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w:t>
            </w:r>
          </w:p>
        </w:tc>
        <w:tc>
          <w:tcPr>
            <w:tcW w:w="2102" w:type="dxa"/>
            <w:gridSpan w:val="3"/>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实有人数</w:t>
            </w:r>
          </w:p>
        </w:tc>
        <w:tc>
          <w:tcPr>
            <w:tcW w:w="1534" w:type="dxa"/>
            <w:gridSpan w:val="4"/>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0" w:hRule="atLeast"/>
          <w:jc w:val="center"/>
        </w:trPr>
        <w:tc>
          <w:tcPr>
            <w:tcW w:w="1064"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916" w:type="dxa"/>
            <w:gridSpan w:val="4"/>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　项   目</w:t>
            </w:r>
          </w:p>
        </w:tc>
        <w:tc>
          <w:tcPr>
            <w:tcW w:w="1485" w:type="dxa"/>
            <w:gridSpan w:val="3"/>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全年预算数</w:t>
            </w:r>
          </w:p>
        </w:tc>
        <w:tc>
          <w:tcPr>
            <w:tcW w:w="2102" w:type="dxa"/>
            <w:gridSpan w:val="3"/>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全年执行数</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执行率</w:t>
            </w: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分值</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50"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资金</w:t>
            </w:r>
          </w:p>
          <w:p>
            <w:pPr>
              <w:spacing w:line="250" w:lineRule="exact"/>
              <w:jc w:val="center"/>
              <w:rPr>
                <w:rFonts w:hint="eastAsia" w:ascii="宋体" w:hAnsi="宋体" w:cs="宋体"/>
                <w:color w:val="000000"/>
                <w:szCs w:val="21"/>
              </w:rPr>
            </w:pPr>
            <w:r>
              <w:rPr>
                <w:rFonts w:hint="eastAsia" w:ascii="宋体" w:hAnsi="宋体" w:cs="宋体"/>
                <w:color w:val="000000"/>
                <w:szCs w:val="21"/>
              </w:rPr>
              <w:t>来源</w:t>
            </w:r>
          </w:p>
        </w:tc>
        <w:tc>
          <w:tcPr>
            <w:tcW w:w="2195"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合计</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rPr>
            </w:pPr>
            <w:r>
              <w:rPr>
                <w:rFonts w:hint="eastAsia" w:ascii="宋体" w:hAnsi="宋体" w:eastAsia="宋体" w:cs="宋体"/>
                <w:i w:val="0"/>
                <w:color w:val="000000"/>
                <w:kern w:val="0"/>
                <w:sz w:val="21"/>
                <w:szCs w:val="21"/>
                <w:u w:val="none"/>
                <w:lang w:val="en-US" w:eastAsia="zh-CN" w:bidi="ar"/>
              </w:rPr>
              <w:t>4847.62</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color w:val="000000"/>
                <w:szCs w:val="21"/>
              </w:rPr>
            </w:pPr>
            <w:r>
              <w:rPr>
                <w:rFonts w:hint="eastAsia" w:ascii="宋体" w:hAnsi="宋体" w:eastAsia="宋体" w:cs="宋体"/>
                <w:i w:val="0"/>
                <w:color w:val="000000"/>
                <w:kern w:val="0"/>
                <w:sz w:val="21"/>
                <w:szCs w:val="21"/>
                <w:u w:val="none"/>
                <w:lang w:val="en-US" w:eastAsia="zh-CN" w:bidi="ar"/>
              </w:rPr>
              <w:t>5514.89</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114%</w:t>
            </w: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jc w:val="center"/>
              <w:rPr>
                <w:rFonts w:ascii="宋体" w:hAnsi="宋体" w:cs="宋体"/>
                <w:color w:val="000000"/>
                <w:szCs w:val="21"/>
              </w:rPr>
            </w:pPr>
            <w:r>
              <w:rPr>
                <w:rFonts w:hint="eastAsia" w:ascii="宋体" w:hAnsi="宋体" w:cs="宋体"/>
                <w:color w:val="000000"/>
                <w:szCs w:val="21"/>
              </w:rPr>
              <w:t>10</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82"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left"/>
              <w:rPr>
                <w:rFonts w:hint="eastAsia" w:ascii="宋体" w:hAnsi="宋体" w:eastAsia="宋体" w:cs="宋体"/>
                <w:color w:val="000000"/>
                <w:szCs w:val="21"/>
                <w:lang w:val="en-US" w:eastAsia="zh-CN"/>
              </w:rPr>
            </w:pPr>
            <w:r>
              <w:rPr>
                <w:rFonts w:hint="eastAsia" w:ascii="宋体" w:hAnsi="宋体" w:cs="宋体"/>
                <w:color w:val="000000"/>
                <w:szCs w:val="21"/>
              </w:rPr>
              <w:t>（1）财政拨款</w:t>
            </w:r>
            <w:r>
              <w:rPr>
                <w:rFonts w:hint="eastAsia" w:ascii="宋体" w:hAnsi="宋体" w:cs="宋体"/>
                <w:b w:val="0"/>
                <w:bCs w:val="0"/>
                <w:color w:val="000000"/>
                <w:szCs w:val="21"/>
                <w:lang w:val="en-US" w:eastAsia="zh-CN"/>
              </w:rPr>
              <w:t>(年初预算批复）</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4640.47</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5316.1</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54"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2）年初预算指标结余</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15.58</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b/>
                <w:bCs/>
                <w:color w:val="000000"/>
                <w:szCs w:val="21"/>
                <w:lang w:val="en-US" w:eastAsia="zh-CN"/>
              </w:rPr>
            </w:pPr>
            <w:r>
              <w:rPr>
                <w:rFonts w:hint="eastAsia" w:ascii="宋体" w:hAnsi="宋体" w:eastAsia="宋体" w:cs="宋体"/>
                <w:i w:val="0"/>
                <w:color w:val="000000"/>
                <w:kern w:val="0"/>
                <w:sz w:val="21"/>
                <w:szCs w:val="21"/>
                <w:u w:val="none"/>
                <w:lang w:val="en-US" w:eastAsia="zh-CN" w:bidi="ar"/>
              </w:rPr>
              <w:t>15.58</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14"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left"/>
              <w:rPr>
                <w:rFonts w:hint="eastAsia" w:ascii="宋体" w:hAnsi="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3）其他资金（预算调整：基本支出，人员开支包括临聘人员开支）</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131.57</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124.81</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8"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left"/>
              <w:rPr>
                <w:rFonts w:hint="eastAsia" w:ascii="宋体" w:hAnsi="宋体" w:eastAsia="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4</w:t>
            </w:r>
            <w:r>
              <w:rPr>
                <w:rFonts w:hint="eastAsia" w:ascii="宋体" w:hAnsi="宋体" w:cs="宋体"/>
                <w:color w:val="000000"/>
                <w:szCs w:val="21"/>
                <w:lang w:eastAsia="zh-CN"/>
              </w:rPr>
              <w:t>）其他资金（岳财专指</w:t>
            </w:r>
            <w:r>
              <w:rPr>
                <w:rFonts w:hint="eastAsia" w:ascii="宋体" w:hAnsi="宋体" w:cs="宋体"/>
                <w:color w:val="000000"/>
                <w:szCs w:val="21"/>
                <w:lang w:val="en-US" w:eastAsia="zh-CN"/>
              </w:rPr>
              <w:t>0170</w:t>
            </w:r>
            <w:r>
              <w:rPr>
                <w:rFonts w:hint="eastAsia" w:ascii="宋体" w:hAnsi="宋体" w:cs="宋体"/>
                <w:color w:val="000000"/>
                <w:szCs w:val="21"/>
                <w:lang w:eastAsia="zh-CN"/>
              </w:rPr>
              <w:t>：提前下达</w:t>
            </w:r>
            <w:r>
              <w:rPr>
                <w:rFonts w:hint="eastAsia" w:ascii="宋体" w:hAnsi="宋体" w:cs="宋体"/>
                <w:color w:val="000000"/>
                <w:szCs w:val="21"/>
                <w:lang w:val="en-US" w:eastAsia="zh-CN"/>
              </w:rPr>
              <w:t>向上争资工作经费</w:t>
            </w:r>
            <w:r>
              <w:rPr>
                <w:rFonts w:hint="eastAsia" w:ascii="宋体" w:hAnsi="宋体" w:cs="宋体"/>
                <w:color w:val="000000"/>
                <w:szCs w:val="21"/>
                <w:lang w:eastAsia="zh-CN"/>
              </w:rPr>
              <w:t>）</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8"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both"/>
              <w:rPr>
                <w:rFonts w:hint="eastAsia" w:ascii="宋体" w:hAnsi="宋体" w:eastAsia="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5）其他资金（岳财专指0010：特殊群体医疗费用）</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50</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48.4</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6"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资金</w:t>
            </w:r>
          </w:p>
          <w:p>
            <w:pPr>
              <w:spacing w:line="250" w:lineRule="exact"/>
              <w:jc w:val="center"/>
              <w:rPr>
                <w:rFonts w:hint="eastAsia" w:ascii="宋体" w:hAnsi="宋体" w:cs="宋体"/>
                <w:color w:val="000000"/>
                <w:szCs w:val="21"/>
              </w:rPr>
            </w:pPr>
            <w:r>
              <w:rPr>
                <w:rFonts w:hint="eastAsia" w:ascii="宋体" w:hAnsi="宋体" w:cs="宋体"/>
                <w:color w:val="000000"/>
                <w:szCs w:val="21"/>
              </w:rPr>
              <w:t>结构</w:t>
            </w:r>
          </w:p>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合计</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rPr>
            </w:pPr>
            <w:r>
              <w:rPr>
                <w:rFonts w:hint="eastAsia" w:ascii="宋体" w:hAnsi="宋体" w:eastAsia="宋体" w:cs="宋体"/>
                <w:i w:val="0"/>
                <w:color w:val="000000"/>
                <w:kern w:val="0"/>
                <w:sz w:val="21"/>
                <w:szCs w:val="21"/>
                <w:u w:val="none"/>
                <w:lang w:val="en-US" w:eastAsia="zh-CN" w:bidi="ar"/>
              </w:rPr>
              <w:t>4847.62</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cs="宋体"/>
                <w:color w:val="000000"/>
                <w:szCs w:val="21"/>
              </w:rPr>
            </w:pPr>
            <w:r>
              <w:rPr>
                <w:rFonts w:hint="eastAsia" w:ascii="宋体" w:hAnsi="宋体" w:eastAsia="宋体" w:cs="宋体"/>
                <w:i w:val="0"/>
                <w:color w:val="000000"/>
                <w:kern w:val="0"/>
                <w:sz w:val="21"/>
                <w:szCs w:val="21"/>
                <w:u w:val="none"/>
                <w:lang w:val="en-US" w:eastAsia="zh-CN" w:bidi="ar"/>
              </w:rPr>
              <w:t>5514.89</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r>
              <w:rPr>
                <w:rFonts w:hint="eastAsia" w:ascii="宋体" w:hAnsi="宋体" w:cs="宋体"/>
                <w:color w:val="000000"/>
                <w:szCs w:val="21"/>
              </w:rPr>
              <w:t>　</w:t>
            </w: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90"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（1）基本支出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277.04</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266.99</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r>
              <w:rPr>
                <w:rFonts w:hint="eastAsia" w:ascii="宋体" w:hAnsi="宋体" w:cs="宋体"/>
                <w:color w:val="000000"/>
                <w:szCs w:val="21"/>
              </w:rPr>
              <w:t>　</w:t>
            </w: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86"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其中：人员支出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249.84</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239.8</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18"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公用支出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27.2</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27.19</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70"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tabs>
                <w:tab w:val="left" w:pos="567"/>
              </w:tabs>
              <w:spacing w:line="250" w:lineRule="exact"/>
              <w:jc w:val="center"/>
              <w:rPr>
                <w:rFonts w:hint="eastAsia" w:ascii="宋体" w:hAnsi="宋体" w:cs="宋体"/>
                <w:color w:val="000000"/>
                <w:szCs w:val="21"/>
              </w:rPr>
            </w:pPr>
            <w:r>
              <w:rPr>
                <w:rFonts w:hint="eastAsia" w:ascii="宋体" w:hAnsi="宋体" w:cs="宋体"/>
                <w:color w:val="000000"/>
                <w:szCs w:val="21"/>
              </w:rPr>
              <w:t>（2）项目支出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4570.58</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lang w:val="en-US" w:eastAsia="zh-CN"/>
              </w:rPr>
            </w:pPr>
            <w:r>
              <w:rPr>
                <w:rFonts w:hint="eastAsia" w:ascii="宋体" w:hAnsi="宋体" w:eastAsia="宋体" w:cs="宋体"/>
                <w:i w:val="0"/>
                <w:color w:val="000000"/>
                <w:kern w:val="0"/>
                <w:sz w:val="21"/>
                <w:szCs w:val="21"/>
                <w:u w:val="none"/>
                <w:lang w:val="en-US" w:eastAsia="zh-CN" w:bidi="ar"/>
              </w:rPr>
              <w:t>5247.9</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rPr>
            </w:pPr>
            <w:r>
              <w:rPr>
                <w:rFonts w:hint="eastAsia" w:ascii="宋体" w:hAnsi="宋体" w:cs="宋体"/>
                <w:color w:val="000000"/>
                <w:szCs w:val="21"/>
              </w:rPr>
              <w:t>　</w:t>
            </w:r>
          </w:p>
        </w:tc>
        <w:tc>
          <w:tcPr>
            <w:tcW w:w="512" w:type="dxa"/>
            <w:gridSpan w:val="2"/>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rPr>
            </w:pPr>
            <w:r>
              <w:rPr>
                <w:rFonts w:hint="eastAsia" w:ascii="宋体" w:hAnsi="宋体" w:cs="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3" w:hRule="atLeast"/>
          <w:jc w:val="center"/>
        </w:trPr>
        <w:tc>
          <w:tcPr>
            <w:tcW w:w="1064"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年度总</w:t>
            </w:r>
          </w:p>
          <w:p>
            <w:pPr>
              <w:spacing w:line="250" w:lineRule="exact"/>
              <w:jc w:val="center"/>
              <w:rPr>
                <w:rFonts w:hint="eastAsia" w:ascii="宋体" w:hAnsi="宋体" w:cs="宋体"/>
                <w:color w:val="000000"/>
                <w:szCs w:val="21"/>
              </w:rPr>
            </w:pPr>
            <w:r>
              <w:rPr>
                <w:rFonts w:hint="eastAsia" w:ascii="宋体" w:hAnsi="宋体" w:cs="宋体"/>
                <w:color w:val="000000"/>
                <w:szCs w:val="21"/>
              </w:rPr>
              <w:t>体目标</w:t>
            </w:r>
          </w:p>
        </w:tc>
        <w:tc>
          <w:tcPr>
            <w:tcW w:w="4126" w:type="dxa"/>
            <w:gridSpan w:val="6"/>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年初设定目标</w:t>
            </w:r>
          </w:p>
        </w:tc>
        <w:tc>
          <w:tcPr>
            <w:tcW w:w="3911" w:type="dxa"/>
            <w:gridSpan w:val="8"/>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66" w:hRule="atLeast"/>
          <w:jc w:val="center"/>
        </w:trPr>
        <w:tc>
          <w:tcPr>
            <w:tcW w:w="1064" w:type="dxa"/>
            <w:gridSpan w:val="2"/>
            <w:vMerge w:val="continue"/>
            <w:noWrap w:val="0"/>
            <w:vAlign w:val="center"/>
          </w:tcPr>
          <w:p>
            <w:pPr>
              <w:spacing w:line="250" w:lineRule="exact"/>
              <w:rPr>
                <w:rFonts w:hint="eastAsia" w:ascii="宋体" w:hAnsi="宋体" w:cs="宋体"/>
                <w:color w:val="000000"/>
                <w:sz w:val="18"/>
                <w:szCs w:val="18"/>
              </w:rPr>
            </w:pPr>
          </w:p>
        </w:tc>
        <w:tc>
          <w:tcPr>
            <w:tcW w:w="4126" w:type="dxa"/>
            <w:gridSpan w:val="6"/>
            <w:noWrap w:val="0"/>
            <w:tcMar>
              <w:top w:w="15" w:type="dxa"/>
              <w:left w:w="15" w:type="dxa"/>
              <w:bottom w:w="0" w:type="dxa"/>
              <w:right w:w="15" w:type="dxa"/>
            </w:tcMar>
            <w:vAlign w:val="center"/>
          </w:tcPr>
          <w:p>
            <w:pPr>
              <w:spacing w:line="250" w:lineRule="exact"/>
              <w:jc w:val="left"/>
              <w:rPr>
                <w:rFonts w:hint="eastAsia" w:ascii="宋体" w:hAnsi="宋体"/>
                <w:szCs w:val="21"/>
                <w:highlight w:val="none"/>
                <w:lang w:val="en-US" w:eastAsia="zh-CN"/>
              </w:rPr>
            </w:pPr>
            <w:r>
              <w:rPr>
                <w:rFonts w:hint="eastAsia" w:ascii="宋体" w:hAnsi="宋体"/>
                <w:b/>
                <w:bCs/>
                <w:szCs w:val="21"/>
                <w:lang w:val="en-US" w:eastAsia="zh-CN"/>
              </w:rPr>
              <w:t>1、</w:t>
            </w:r>
            <w:r>
              <w:rPr>
                <w:rFonts w:hint="eastAsia" w:ascii="宋体" w:hAnsi="宋体"/>
                <w:szCs w:val="21"/>
                <w:lang w:eastAsia="zh-CN"/>
              </w:rPr>
              <w:t>全区在册满足条件的申请精神障碍医疗救助的精神障碍患者应救尽救</w:t>
            </w:r>
            <w:r>
              <w:rPr>
                <w:rFonts w:hint="eastAsia" w:ascii="宋体" w:hAnsi="宋体"/>
                <w:szCs w:val="21"/>
                <w:lang w:val="en-US" w:eastAsia="zh-CN"/>
              </w:rPr>
              <w:t>，计划精神障碍患者医疗救助资</w:t>
            </w:r>
            <w:r>
              <w:rPr>
                <w:rFonts w:hint="eastAsia" w:ascii="宋体" w:hAnsi="宋体"/>
                <w:szCs w:val="21"/>
                <w:highlight w:val="none"/>
                <w:lang w:val="en-US" w:eastAsia="zh-CN"/>
              </w:rPr>
              <w:t>金200万元。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2、</w:t>
            </w:r>
            <w:r>
              <w:rPr>
                <w:rFonts w:hint="eastAsia" w:ascii="宋体" w:hAnsi="宋体"/>
                <w:szCs w:val="21"/>
                <w:highlight w:val="none"/>
                <w:lang w:val="en-US" w:eastAsia="zh-CN"/>
              </w:rPr>
              <w:t>全区满足条件的</w:t>
            </w:r>
            <w:r>
              <w:rPr>
                <w:rFonts w:hint="eastAsia" w:ascii="宋体" w:hAnsi="宋体" w:eastAsia="宋体"/>
                <w:szCs w:val="21"/>
                <w:highlight w:val="none"/>
                <w:lang w:eastAsia="zh-CN"/>
              </w:rPr>
              <w:t>困难居民医疗救助对象应救尽救</w:t>
            </w:r>
            <w:r>
              <w:rPr>
                <w:rFonts w:hint="eastAsia" w:ascii="宋体" w:hAnsi="宋体"/>
                <w:szCs w:val="21"/>
                <w:highlight w:val="none"/>
                <w:lang w:eastAsia="zh-CN"/>
              </w:rPr>
              <w:t>，计划困难居民医疗救助资金</w:t>
            </w:r>
            <w:r>
              <w:rPr>
                <w:rFonts w:hint="eastAsia" w:ascii="宋体" w:hAnsi="宋体"/>
                <w:szCs w:val="21"/>
                <w:highlight w:val="none"/>
                <w:lang w:val="en-US" w:eastAsia="zh-CN"/>
              </w:rPr>
              <w:t>400万元。</w:t>
            </w:r>
          </w:p>
          <w:p>
            <w:pPr>
              <w:spacing w:line="250" w:lineRule="exact"/>
              <w:jc w:val="left"/>
              <w:rPr>
                <w:rFonts w:hint="eastAsia" w:ascii="宋体" w:hAnsi="宋体"/>
                <w:szCs w:val="21"/>
                <w:lang w:val="en-US" w:eastAsia="zh-CN"/>
              </w:rPr>
            </w:pPr>
            <w:r>
              <w:rPr>
                <w:rFonts w:hint="eastAsia" w:ascii="宋体" w:hAnsi="宋体"/>
                <w:b/>
                <w:bCs/>
                <w:szCs w:val="21"/>
                <w:highlight w:val="none"/>
                <w:lang w:val="en-US" w:eastAsia="zh-CN"/>
              </w:rPr>
              <w:t>3、</w:t>
            </w:r>
            <w:r>
              <w:rPr>
                <w:rFonts w:hint="eastAsia" w:ascii="宋体" w:hAnsi="宋体"/>
                <w:szCs w:val="21"/>
                <w:highlight w:val="none"/>
                <w:lang w:val="en-US" w:eastAsia="zh-CN"/>
              </w:rPr>
              <w:t>申请辖区内结算的特困人员、农村低保对象城乡居民医保参保人员，应保尽保，计划“一站式”健康扶贫医疗救助资金400</w:t>
            </w:r>
            <w:r>
              <w:rPr>
                <w:rFonts w:hint="eastAsia" w:ascii="宋体" w:hAnsi="宋体"/>
                <w:szCs w:val="21"/>
                <w:lang w:val="en-US" w:eastAsia="zh-CN"/>
              </w:rPr>
              <w:t>万元。</w:t>
            </w:r>
          </w:p>
          <w:p>
            <w:pPr>
              <w:spacing w:line="250" w:lineRule="exact"/>
              <w:jc w:val="left"/>
              <w:rPr>
                <w:rFonts w:hint="eastAsia" w:ascii="宋体" w:hAnsi="宋体"/>
                <w:szCs w:val="21"/>
                <w:lang w:val="en-US" w:eastAsia="zh-CN"/>
              </w:rPr>
            </w:pPr>
            <w:r>
              <w:rPr>
                <w:rFonts w:hint="eastAsia" w:ascii="宋体" w:hAnsi="宋体"/>
                <w:b/>
                <w:bCs/>
                <w:szCs w:val="21"/>
                <w:lang w:val="en-US" w:eastAsia="zh-CN"/>
              </w:rPr>
              <w:t>4、</w:t>
            </w:r>
            <w:r>
              <w:rPr>
                <w:rFonts w:hint="eastAsia" w:ascii="宋体" w:hAnsi="宋体"/>
                <w:szCs w:val="21"/>
              </w:rPr>
              <w:t>区属关闭破产企业退休人员参加职工基本医疗保险费90万元</w:t>
            </w:r>
            <w:r>
              <w:rPr>
                <w:rFonts w:hint="eastAsia" w:ascii="宋体" w:hAnsi="宋体"/>
                <w:szCs w:val="21"/>
                <w:lang w:eastAsia="zh-CN"/>
              </w:rPr>
              <w:t>；</w:t>
            </w:r>
            <w:r>
              <w:rPr>
                <w:rFonts w:hint="eastAsia" w:ascii="宋体" w:hAnsi="宋体"/>
                <w:szCs w:val="21"/>
              </w:rPr>
              <w:t>城乡居民医保区级配经费</w:t>
            </w:r>
            <w:r>
              <w:rPr>
                <w:rFonts w:hint="eastAsia" w:ascii="宋体" w:hAnsi="宋体"/>
                <w:szCs w:val="21"/>
                <w:lang w:val="en-US" w:eastAsia="zh-CN"/>
              </w:rPr>
              <w:t>3028</w:t>
            </w:r>
            <w:r>
              <w:rPr>
                <w:rFonts w:hint="eastAsia" w:ascii="宋体" w:hAnsi="宋体"/>
                <w:szCs w:val="21"/>
              </w:rPr>
              <w:t>万元</w:t>
            </w:r>
            <w:r>
              <w:rPr>
                <w:rFonts w:hint="eastAsia" w:ascii="宋体" w:hAnsi="宋体"/>
                <w:szCs w:val="21"/>
                <w:lang w:eastAsia="zh-CN"/>
              </w:rPr>
              <w:t>；2021</w:t>
            </w:r>
            <w:r>
              <w:rPr>
                <w:rFonts w:hint="eastAsia" w:ascii="宋体" w:hAnsi="宋体"/>
                <w:szCs w:val="21"/>
              </w:rPr>
              <w:t>年应上缴80岁以上参保人员补助200万元</w:t>
            </w:r>
            <w:r>
              <w:rPr>
                <w:rFonts w:hint="eastAsia" w:ascii="宋体" w:hAnsi="宋体"/>
                <w:szCs w:val="21"/>
                <w:lang w:eastAsia="zh-CN"/>
              </w:rPr>
              <w:t>。计划合计城乡居民基本医疗保险配套专项资金预期目标</w:t>
            </w:r>
            <w:r>
              <w:rPr>
                <w:rFonts w:hint="eastAsia" w:ascii="宋体" w:hAnsi="宋体"/>
                <w:szCs w:val="21"/>
                <w:lang w:val="en-US" w:eastAsia="zh-CN"/>
              </w:rPr>
              <w:t>3318万元。</w:t>
            </w:r>
          </w:p>
          <w:p>
            <w:pPr>
              <w:spacing w:line="250" w:lineRule="exact"/>
              <w:jc w:val="left"/>
              <w:rPr>
                <w:rFonts w:hint="eastAsia" w:ascii="宋体" w:hAnsi="宋体"/>
                <w:szCs w:val="21"/>
                <w:highlight w:val="none"/>
                <w:lang w:eastAsia="zh-CN"/>
              </w:rPr>
            </w:pPr>
            <w:r>
              <w:rPr>
                <w:rFonts w:hint="eastAsia" w:ascii="宋体" w:hAnsi="宋体"/>
                <w:b/>
                <w:bCs/>
                <w:szCs w:val="21"/>
                <w:lang w:val="en-US" w:eastAsia="zh-CN"/>
              </w:rPr>
              <w:t>5、</w:t>
            </w:r>
            <w:r>
              <w:rPr>
                <w:rFonts w:hint="eastAsia" w:ascii="宋体" w:hAnsi="宋体"/>
                <w:szCs w:val="21"/>
                <w:lang w:val="en-US" w:eastAsia="zh-CN"/>
              </w:rPr>
              <w:t>计划</w:t>
            </w:r>
            <w:r>
              <w:rPr>
                <w:rFonts w:hint="eastAsia" w:ascii="宋体" w:hAnsi="宋体"/>
                <w:szCs w:val="21"/>
                <w:highlight w:val="none"/>
              </w:rPr>
              <w:t>区属困难企业</w:t>
            </w:r>
            <w:r>
              <w:rPr>
                <w:rFonts w:hint="eastAsia" w:ascii="宋体" w:hAnsi="宋体"/>
                <w:szCs w:val="21"/>
                <w:highlight w:val="none"/>
                <w:lang w:eastAsia="zh-CN"/>
              </w:rPr>
              <w:t>划拨个人账户</w:t>
            </w:r>
            <w:r>
              <w:rPr>
                <w:rFonts w:hint="eastAsia" w:ascii="宋体" w:hAnsi="宋体"/>
                <w:szCs w:val="21"/>
                <w:highlight w:val="none"/>
              </w:rPr>
              <w:t>资金</w:t>
            </w:r>
            <w:r>
              <w:rPr>
                <w:rFonts w:hint="eastAsia" w:ascii="宋体" w:hAnsi="宋体"/>
                <w:szCs w:val="21"/>
                <w:highlight w:val="none"/>
                <w:lang w:val="en-US" w:eastAsia="zh-CN"/>
              </w:rPr>
              <w:t>110</w:t>
            </w:r>
            <w:r>
              <w:rPr>
                <w:rFonts w:hint="eastAsia" w:ascii="宋体" w:hAnsi="宋体"/>
                <w:szCs w:val="21"/>
                <w:highlight w:val="none"/>
              </w:rPr>
              <w:t>万元</w:t>
            </w:r>
            <w:r>
              <w:rPr>
                <w:rFonts w:hint="eastAsia" w:ascii="宋体" w:hAnsi="宋体"/>
                <w:szCs w:val="21"/>
                <w:highlight w:val="none"/>
                <w:lang w:eastAsia="zh-CN"/>
              </w:rPr>
              <w:t>。</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6、</w:t>
            </w:r>
            <w:r>
              <w:rPr>
                <w:rFonts w:hint="eastAsia" w:ascii="宋体" w:hAnsi="宋体"/>
                <w:szCs w:val="21"/>
                <w:highlight w:val="none"/>
                <w:lang w:val="en-US" w:eastAsia="zh-CN"/>
              </w:rPr>
              <w:t>用于协议医疗机构管理经费（专家评审、第三方监督及举报奖励），计划金额15万元。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7</w:t>
            </w:r>
            <w:r>
              <w:rPr>
                <w:rFonts w:hint="eastAsia" w:ascii="宋体" w:hAnsi="宋体"/>
                <w:szCs w:val="21"/>
                <w:highlight w:val="none"/>
                <w:lang w:val="en-US" w:eastAsia="zh-CN"/>
              </w:rPr>
              <w:t>、用于城乡居民医保（下拨）专项经费，计划金额30万元。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8</w:t>
            </w:r>
            <w:r>
              <w:rPr>
                <w:rFonts w:hint="eastAsia" w:ascii="宋体" w:hAnsi="宋体"/>
                <w:szCs w:val="21"/>
                <w:highlight w:val="none"/>
                <w:lang w:val="en-US" w:eastAsia="zh-CN"/>
              </w:rPr>
              <w:t>、用于医疗保险基金监管专项经费，计划金额10万元。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9、</w:t>
            </w:r>
            <w:r>
              <w:rPr>
                <w:rFonts w:hint="eastAsia" w:ascii="宋体" w:hAnsi="宋体"/>
                <w:szCs w:val="21"/>
                <w:highlight w:val="none"/>
                <w:lang w:val="en-US" w:eastAsia="zh-CN"/>
              </w:rPr>
              <w:t>用于医保业务经办开支（医疗费用审核开支、异地就医结算、参保登记），计划金额12万元。</w:t>
            </w:r>
          </w:p>
          <w:p>
            <w:pPr>
              <w:spacing w:line="250" w:lineRule="exact"/>
              <w:jc w:val="left"/>
              <w:rPr>
                <w:rFonts w:hint="default" w:ascii="宋体" w:hAnsi="宋体"/>
                <w:b/>
                <w:bCs/>
                <w:szCs w:val="21"/>
                <w:highlight w:val="none"/>
                <w:lang w:val="en-US" w:eastAsia="zh-CN"/>
              </w:rPr>
            </w:pPr>
            <w:r>
              <w:rPr>
                <w:rFonts w:hint="eastAsia" w:ascii="宋体" w:hAnsi="宋体"/>
                <w:b/>
                <w:bCs/>
                <w:szCs w:val="21"/>
                <w:highlight w:val="none"/>
                <w:lang w:val="en-US" w:eastAsia="zh-CN"/>
              </w:rPr>
              <w:t>10、</w:t>
            </w:r>
            <w:r>
              <w:rPr>
                <w:rFonts w:hint="eastAsia" w:ascii="宋体" w:hAnsi="宋体"/>
                <w:szCs w:val="21"/>
                <w:highlight w:val="none"/>
                <w:lang w:val="en-US" w:eastAsia="zh-CN"/>
              </w:rPr>
              <w:t>用于确保局机关基本运行公用经费和公务接待费145.47万元。</w:t>
            </w:r>
            <w:r>
              <w:rPr>
                <w:rFonts w:hint="eastAsia" w:ascii="宋体" w:hAnsi="宋体"/>
                <w:b/>
                <w:bCs/>
                <w:szCs w:val="21"/>
                <w:highlight w:val="none"/>
                <w:lang w:val="en-US" w:eastAsia="zh-CN"/>
              </w:rPr>
              <w:t>合计完成预算批复目标4640.47万元。</w:t>
            </w:r>
          </w:p>
          <w:p>
            <w:pPr>
              <w:spacing w:line="250" w:lineRule="exact"/>
              <w:jc w:val="left"/>
              <w:rPr>
                <w:rFonts w:hint="default" w:ascii="宋体" w:hAnsi="宋体"/>
                <w:szCs w:val="21"/>
                <w:lang w:val="en-US" w:eastAsia="zh-CN"/>
              </w:rPr>
            </w:pPr>
          </w:p>
        </w:tc>
        <w:tc>
          <w:tcPr>
            <w:tcW w:w="3911" w:type="dxa"/>
            <w:gridSpan w:val="8"/>
            <w:noWrap w:val="0"/>
            <w:tcMar>
              <w:top w:w="15" w:type="dxa"/>
              <w:left w:w="15" w:type="dxa"/>
              <w:bottom w:w="0" w:type="dxa"/>
              <w:right w:w="15" w:type="dxa"/>
            </w:tcMar>
            <w:vAlign w:val="center"/>
          </w:tcPr>
          <w:p>
            <w:pPr>
              <w:numPr>
                <w:ilvl w:val="0"/>
                <w:numId w:val="2"/>
              </w:numPr>
              <w:spacing w:line="250" w:lineRule="exact"/>
              <w:ind w:left="185" w:leftChars="0" w:firstLine="0" w:firstLineChars="0"/>
              <w:jc w:val="both"/>
              <w:rPr>
                <w:rFonts w:hint="eastAsia" w:ascii="宋体" w:hAnsi="宋体"/>
                <w:color w:val="auto"/>
                <w:szCs w:val="21"/>
                <w:lang w:val="en-US" w:eastAsia="zh-CN"/>
              </w:rPr>
            </w:pPr>
            <w:r>
              <w:rPr>
                <w:rFonts w:hint="eastAsia" w:ascii="宋体" w:hAnsi="宋体" w:cs="宋体"/>
                <w:color w:val="auto"/>
                <w:sz w:val="21"/>
                <w:szCs w:val="21"/>
                <w:lang w:val="en-US" w:eastAsia="zh-CN"/>
              </w:rPr>
              <w:t>精神障碍患者医疗救助：精神障碍医疗救助共计</w:t>
            </w:r>
            <w:r>
              <w:rPr>
                <w:rFonts w:hint="eastAsia" w:ascii="宋体" w:hAnsi="宋体"/>
                <w:color w:val="auto"/>
                <w:szCs w:val="21"/>
                <w:highlight w:val="none"/>
                <w:lang w:val="en-US" w:eastAsia="zh-CN"/>
              </w:rPr>
              <w:t>救助6419 人次，</w:t>
            </w:r>
            <w:r>
              <w:rPr>
                <w:rFonts w:hint="eastAsia" w:ascii="宋体" w:hAnsi="宋体"/>
                <w:color w:val="auto"/>
                <w:szCs w:val="21"/>
                <w:lang w:val="en-US" w:eastAsia="zh-CN"/>
              </w:rPr>
              <w:t>支付108.17万元。完成率54%。</w:t>
            </w:r>
          </w:p>
          <w:p>
            <w:pPr>
              <w:numPr>
                <w:ilvl w:val="0"/>
                <w:numId w:val="0"/>
              </w:numPr>
              <w:spacing w:line="250" w:lineRule="exact"/>
              <w:ind w:left="185" w:leftChars="0"/>
              <w:jc w:val="both"/>
              <w:rPr>
                <w:rFonts w:hint="eastAsia" w:ascii="宋体" w:hAnsi="宋体"/>
                <w:color w:val="auto"/>
                <w:szCs w:val="21"/>
                <w:lang w:val="en-US" w:eastAsia="zh-CN"/>
              </w:rPr>
            </w:pPr>
          </w:p>
          <w:p>
            <w:pPr>
              <w:numPr>
                <w:ilvl w:val="0"/>
                <w:numId w:val="2"/>
              </w:numPr>
              <w:spacing w:line="250" w:lineRule="exact"/>
              <w:ind w:left="185" w:leftChars="0" w:firstLine="0" w:firstLineChars="0"/>
              <w:jc w:val="both"/>
              <w:rPr>
                <w:rFonts w:hint="default" w:ascii="宋体" w:hAnsi="宋体"/>
                <w:color w:val="auto"/>
                <w:szCs w:val="21"/>
                <w:highlight w:val="none"/>
                <w:lang w:val="en-US" w:eastAsia="zh-CN"/>
              </w:rPr>
            </w:pPr>
            <w:r>
              <w:rPr>
                <w:rFonts w:hint="eastAsia" w:ascii="宋体" w:hAnsi="宋体"/>
                <w:color w:val="auto"/>
                <w:szCs w:val="21"/>
                <w:lang w:val="en-US" w:eastAsia="zh-CN"/>
              </w:rPr>
              <w:t>困难居民医疗救助：困难居民医疗救助共计救助1360人次，使用财政局医疗救助专户支付</w:t>
            </w:r>
            <w:r>
              <w:rPr>
                <w:rFonts w:hint="eastAsia" w:ascii="宋体" w:hAnsi="宋体"/>
                <w:color w:val="auto"/>
                <w:szCs w:val="21"/>
                <w:highlight w:val="none"/>
                <w:lang w:val="en-US" w:eastAsia="zh-CN"/>
              </w:rPr>
              <w:t>646.23万元(上年度结余及上级来款，未使用区级预算）。完成率161.55%。</w:t>
            </w:r>
          </w:p>
          <w:p>
            <w:pPr>
              <w:numPr>
                <w:ilvl w:val="0"/>
                <w:numId w:val="0"/>
              </w:numPr>
              <w:spacing w:line="250" w:lineRule="exact"/>
              <w:ind w:left="185" w:leftChars="0"/>
              <w:jc w:val="both"/>
              <w:rPr>
                <w:rFonts w:hint="default" w:ascii="宋体" w:hAnsi="宋体"/>
                <w:color w:val="auto"/>
                <w:szCs w:val="21"/>
                <w:highlight w:val="none"/>
                <w:lang w:val="en-US" w:eastAsia="zh-CN"/>
              </w:rPr>
            </w:pPr>
          </w:p>
          <w:p>
            <w:pPr>
              <w:numPr>
                <w:ilvl w:val="0"/>
                <w:numId w:val="2"/>
              </w:numPr>
              <w:spacing w:line="250" w:lineRule="exact"/>
              <w:ind w:left="185" w:leftChars="0" w:firstLine="0" w:firstLineChars="0"/>
              <w:jc w:val="both"/>
              <w:rPr>
                <w:rFonts w:hint="default" w:ascii="宋体" w:hAnsi="宋体"/>
                <w:color w:val="auto"/>
                <w:szCs w:val="21"/>
                <w:highlight w:val="none"/>
                <w:lang w:val="en-US" w:eastAsia="zh-CN"/>
              </w:rPr>
            </w:pPr>
            <w:r>
              <w:rPr>
                <w:rFonts w:hint="eastAsia" w:ascii="宋体" w:hAnsi="宋体" w:eastAsia="宋体"/>
                <w:color w:val="auto"/>
                <w:szCs w:val="21"/>
                <w:highlight w:val="none"/>
                <w:lang w:val="en-US" w:eastAsia="zh-CN"/>
              </w:rPr>
              <w:t>“一站式”健康扶贫医疗救助资金</w:t>
            </w:r>
            <w:r>
              <w:rPr>
                <w:rFonts w:hint="eastAsia" w:ascii="宋体" w:hAnsi="宋体"/>
                <w:color w:val="auto"/>
                <w:szCs w:val="21"/>
                <w:highlight w:val="none"/>
                <w:lang w:val="en-US" w:eastAsia="zh-CN"/>
              </w:rPr>
              <w:t>：2021年从区财政局医疗救助专户实际拨款997.76万元。2021年已结算5044人次，医疗救助结算金额997.76万元(上年度结余及上级来款，使用区级预算300万）。完成率249%。</w:t>
            </w:r>
          </w:p>
          <w:p>
            <w:pPr>
              <w:numPr>
                <w:ilvl w:val="0"/>
                <w:numId w:val="0"/>
              </w:numPr>
              <w:spacing w:line="250" w:lineRule="exact"/>
              <w:ind w:left="185" w:leftChars="0"/>
              <w:jc w:val="both"/>
              <w:rPr>
                <w:rFonts w:hint="default" w:ascii="宋体" w:hAnsi="宋体"/>
                <w:color w:val="auto"/>
                <w:szCs w:val="21"/>
                <w:highlight w:val="none"/>
                <w:lang w:val="en-US" w:eastAsia="zh-CN"/>
              </w:rPr>
            </w:pPr>
          </w:p>
          <w:p>
            <w:pPr>
              <w:numPr>
                <w:ilvl w:val="0"/>
                <w:numId w:val="2"/>
              </w:numPr>
              <w:spacing w:line="250" w:lineRule="exact"/>
              <w:ind w:left="185" w:leftChars="0" w:firstLine="0" w:firstLineChars="0"/>
              <w:jc w:val="both"/>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城乡居民基本医疗保险配套专项资金：通过区财政局财政性资金专户上解2021年区属困难企业职工基本医疗保险补助资金82.24万元；上解长沙市城乡居民基本医疗保险2021年度配套补助资金3115.67万元；上解2021年度城乡居民80周岁以上参保人员医疗保险补助资156.86万元。合计支付3354.77万元，完成率101%。</w:t>
            </w:r>
          </w:p>
          <w:p>
            <w:pPr>
              <w:numPr>
                <w:ilvl w:val="0"/>
                <w:numId w:val="0"/>
              </w:numPr>
              <w:spacing w:line="250" w:lineRule="exact"/>
              <w:ind w:left="185" w:leftChars="0"/>
              <w:jc w:val="both"/>
              <w:rPr>
                <w:rFonts w:hint="default" w:ascii="宋体" w:hAnsi="宋体" w:cs="宋体"/>
                <w:color w:val="auto"/>
                <w:sz w:val="21"/>
                <w:szCs w:val="21"/>
                <w:highlight w:val="none"/>
                <w:lang w:val="en-US" w:eastAsia="zh-CN"/>
              </w:rPr>
            </w:pPr>
          </w:p>
          <w:p>
            <w:pPr>
              <w:numPr>
                <w:ilvl w:val="0"/>
                <w:numId w:val="2"/>
              </w:numPr>
              <w:spacing w:line="250" w:lineRule="exact"/>
              <w:ind w:left="185" w:leftChars="0" w:firstLine="0" w:firstLineChars="0"/>
              <w:jc w:val="both"/>
              <w:rPr>
                <w:rFonts w:hint="default" w:ascii="宋体" w:hAnsi="宋体"/>
                <w:color w:val="auto"/>
                <w:szCs w:val="21"/>
                <w:lang w:val="en-US" w:eastAsia="zh-CN"/>
              </w:rPr>
            </w:pPr>
            <w:r>
              <w:rPr>
                <w:rFonts w:hint="eastAsia" w:ascii="宋体" w:hAnsi="宋体" w:eastAsia="宋体"/>
                <w:color w:val="auto"/>
                <w:szCs w:val="21"/>
                <w:highlight w:val="none"/>
                <w:lang w:val="en-US" w:eastAsia="zh-CN"/>
              </w:rPr>
              <w:t>区属困难企业医保个人账户专项资金</w:t>
            </w:r>
            <w:r>
              <w:rPr>
                <w:rFonts w:hint="eastAsia" w:ascii="宋体" w:hAnsi="宋体"/>
                <w:color w:val="auto"/>
                <w:szCs w:val="21"/>
                <w:highlight w:val="none"/>
                <w:lang w:val="en-US" w:eastAsia="zh-CN"/>
              </w:rPr>
              <w:t>：2021年我区共有困难企业19家，参保总人数651人，</w:t>
            </w:r>
            <w:r>
              <w:rPr>
                <w:rFonts w:hint="eastAsia" w:ascii="宋体" w:hAnsi="宋体"/>
                <w:color w:val="auto"/>
                <w:szCs w:val="21"/>
                <w:lang w:val="en-US" w:eastAsia="zh-CN"/>
              </w:rPr>
              <w:t>区属困难企业划拨个人账户资金因新旧系统切换，实际支付0万元，完成率0%。</w:t>
            </w:r>
          </w:p>
          <w:p>
            <w:pPr>
              <w:numPr>
                <w:ilvl w:val="0"/>
                <w:numId w:val="0"/>
              </w:numPr>
              <w:spacing w:line="250" w:lineRule="exact"/>
              <w:ind w:left="185" w:leftChars="0"/>
              <w:jc w:val="both"/>
              <w:rPr>
                <w:rFonts w:hint="default" w:ascii="宋体" w:hAnsi="宋体"/>
                <w:color w:val="auto"/>
                <w:szCs w:val="21"/>
                <w:lang w:val="en-US" w:eastAsia="zh-CN"/>
              </w:rPr>
            </w:pPr>
          </w:p>
          <w:p>
            <w:pPr>
              <w:numPr>
                <w:ilvl w:val="0"/>
                <w:numId w:val="2"/>
              </w:numPr>
              <w:spacing w:line="250" w:lineRule="exact"/>
              <w:ind w:left="185" w:leftChars="0" w:firstLine="0" w:firstLineChars="0"/>
              <w:jc w:val="both"/>
              <w:rPr>
                <w:rFonts w:hint="default" w:ascii="宋体" w:hAnsi="宋体"/>
                <w:color w:val="auto"/>
                <w:szCs w:val="21"/>
                <w:lang w:val="en-US" w:eastAsia="zh-CN"/>
              </w:rPr>
            </w:pPr>
            <w:r>
              <w:rPr>
                <w:rFonts w:hint="eastAsia" w:ascii="宋体" w:hAnsi="宋体"/>
                <w:color w:val="auto"/>
                <w:szCs w:val="21"/>
                <w:lang w:val="en-US" w:eastAsia="zh-CN"/>
              </w:rPr>
              <w:t>协议医疗机关管理经费：2021年完成协议医疗机构监管共计14.99万元，完成率99%。</w:t>
            </w:r>
          </w:p>
          <w:p>
            <w:pPr>
              <w:numPr>
                <w:ilvl w:val="0"/>
                <w:numId w:val="0"/>
              </w:numPr>
              <w:spacing w:line="250" w:lineRule="exact"/>
              <w:ind w:left="185" w:leftChars="0"/>
              <w:jc w:val="both"/>
              <w:rPr>
                <w:rFonts w:hint="default" w:ascii="宋体" w:hAnsi="宋体"/>
                <w:color w:val="auto"/>
                <w:szCs w:val="21"/>
                <w:lang w:val="en-US" w:eastAsia="zh-CN"/>
              </w:rPr>
            </w:pPr>
          </w:p>
          <w:p>
            <w:pPr>
              <w:numPr>
                <w:ilvl w:val="0"/>
                <w:numId w:val="2"/>
              </w:numPr>
              <w:spacing w:line="250" w:lineRule="exact"/>
              <w:ind w:left="185" w:leftChars="0" w:firstLine="0" w:firstLineChars="0"/>
              <w:jc w:val="both"/>
              <w:rPr>
                <w:rFonts w:hint="default" w:ascii="宋体" w:hAnsi="宋体"/>
                <w:color w:val="auto"/>
                <w:szCs w:val="21"/>
                <w:lang w:val="en-US" w:eastAsia="zh-CN"/>
              </w:rPr>
            </w:pPr>
            <w:r>
              <w:rPr>
                <w:rFonts w:hint="eastAsia" w:ascii="宋体" w:hAnsi="宋体"/>
                <w:color w:val="auto"/>
                <w:szCs w:val="21"/>
                <w:highlight w:val="none"/>
                <w:lang w:val="en-US" w:eastAsia="zh-CN"/>
              </w:rPr>
              <w:t>城乡居民医保（下拨）专项经费：用于城乡居民医保（下拨）专项经费30万元，完成率100%。</w:t>
            </w:r>
          </w:p>
          <w:p>
            <w:pPr>
              <w:numPr>
                <w:ilvl w:val="0"/>
                <w:numId w:val="0"/>
              </w:numPr>
              <w:spacing w:line="250" w:lineRule="exact"/>
              <w:ind w:left="185" w:leftChars="0"/>
              <w:jc w:val="both"/>
              <w:rPr>
                <w:rFonts w:hint="default" w:ascii="宋体" w:hAnsi="宋体"/>
                <w:color w:val="auto"/>
                <w:szCs w:val="21"/>
                <w:lang w:val="en-US" w:eastAsia="zh-CN"/>
              </w:rPr>
            </w:pPr>
          </w:p>
          <w:p>
            <w:pPr>
              <w:numPr>
                <w:ilvl w:val="0"/>
                <w:numId w:val="2"/>
              </w:numPr>
              <w:spacing w:line="250" w:lineRule="exact"/>
              <w:ind w:left="185" w:leftChars="0" w:firstLine="0" w:firstLineChars="0"/>
              <w:jc w:val="both"/>
              <w:rPr>
                <w:rFonts w:hint="default" w:ascii="宋体" w:hAnsi="宋体"/>
                <w:color w:val="auto"/>
                <w:szCs w:val="21"/>
                <w:lang w:val="en-US" w:eastAsia="zh-CN"/>
              </w:rPr>
            </w:pPr>
            <w:r>
              <w:rPr>
                <w:rFonts w:hint="eastAsia" w:ascii="宋体" w:hAnsi="宋体"/>
                <w:color w:val="auto"/>
                <w:szCs w:val="21"/>
                <w:lang w:val="en-US" w:eastAsia="zh-CN"/>
              </w:rPr>
              <w:t>医疗保险基金监管专项经费：2021年完成医疗保险基金监管共计10万元，完成率100%。</w:t>
            </w:r>
          </w:p>
          <w:p>
            <w:pPr>
              <w:numPr>
                <w:ilvl w:val="0"/>
                <w:numId w:val="0"/>
              </w:numPr>
              <w:spacing w:line="250" w:lineRule="exact"/>
              <w:ind w:left="185" w:leftChars="0"/>
              <w:jc w:val="both"/>
              <w:rPr>
                <w:rFonts w:hint="default" w:ascii="宋体" w:hAnsi="宋体"/>
                <w:color w:val="auto"/>
                <w:szCs w:val="21"/>
                <w:lang w:val="en-US" w:eastAsia="zh-CN"/>
              </w:rPr>
            </w:pPr>
          </w:p>
          <w:p>
            <w:pPr>
              <w:numPr>
                <w:ilvl w:val="0"/>
                <w:numId w:val="2"/>
              </w:numPr>
              <w:spacing w:line="250" w:lineRule="exact"/>
              <w:ind w:left="185" w:leftChars="0" w:firstLine="0" w:firstLineChars="0"/>
              <w:jc w:val="both"/>
              <w:rPr>
                <w:rFonts w:hint="default" w:ascii="宋体" w:hAnsi="宋体"/>
                <w:color w:val="auto"/>
                <w:szCs w:val="21"/>
                <w:lang w:val="en-US" w:eastAsia="zh-CN"/>
              </w:rPr>
            </w:pPr>
            <w:r>
              <w:rPr>
                <w:rFonts w:hint="eastAsia" w:ascii="宋体" w:hAnsi="宋体"/>
                <w:color w:val="auto"/>
                <w:szCs w:val="21"/>
                <w:lang w:val="en-US" w:eastAsia="zh-CN"/>
              </w:rPr>
              <w:t>医保业务经办专项经费：2021年完成医保业务经办专项经费12万元，完成率100%。</w:t>
            </w:r>
          </w:p>
          <w:p>
            <w:pPr>
              <w:numPr>
                <w:ilvl w:val="0"/>
                <w:numId w:val="0"/>
              </w:numPr>
              <w:spacing w:line="250" w:lineRule="exact"/>
              <w:ind w:left="185" w:leftChars="0"/>
              <w:jc w:val="both"/>
              <w:rPr>
                <w:rFonts w:hint="default" w:ascii="宋体" w:hAnsi="宋体"/>
                <w:color w:val="auto"/>
                <w:szCs w:val="21"/>
                <w:lang w:val="en-US" w:eastAsia="zh-CN"/>
              </w:rPr>
            </w:pPr>
          </w:p>
          <w:p>
            <w:pPr>
              <w:numPr>
                <w:ilvl w:val="0"/>
                <w:numId w:val="2"/>
              </w:numPr>
              <w:spacing w:line="250" w:lineRule="exact"/>
              <w:ind w:left="185" w:leftChars="0" w:firstLine="0" w:firstLineChars="0"/>
              <w:jc w:val="both"/>
              <w:rPr>
                <w:rFonts w:hint="default" w:ascii="宋体" w:hAnsi="宋体"/>
                <w:color w:val="auto"/>
                <w:szCs w:val="21"/>
                <w:lang w:val="en-US" w:eastAsia="zh-CN"/>
              </w:rPr>
            </w:pPr>
            <w:r>
              <w:rPr>
                <w:rFonts w:hint="eastAsia" w:ascii="宋体" w:hAnsi="宋体"/>
                <w:color w:val="auto"/>
                <w:szCs w:val="21"/>
                <w:lang w:val="en-US" w:eastAsia="zh-CN"/>
              </w:rPr>
              <w:t>用于确保局机关基本运行公用经费和公务接待费145.47万元，完成率100%。</w:t>
            </w:r>
          </w:p>
          <w:p>
            <w:pPr>
              <w:numPr>
                <w:ilvl w:val="0"/>
                <w:numId w:val="0"/>
              </w:numPr>
              <w:spacing w:line="250" w:lineRule="exact"/>
              <w:jc w:val="both"/>
              <w:rPr>
                <w:rFonts w:hint="default" w:ascii="宋体" w:hAnsi="宋体"/>
                <w:color w:val="auto"/>
                <w:szCs w:val="21"/>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98" w:hRule="exact"/>
          <w:jc w:val="center"/>
        </w:trPr>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5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hint="eastAsia" w:ascii="宋体" w:hAnsi="宋体"/>
                <w:szCs w:val="21"/>
              </w:rPr>
            </w:pPr>
            <w:r>
              <w:rPr>
                <w:rFonts w:hint="eastAsia" w:ascii="宋体" w:hAnsi="宋体"/>
                <w:szCs w:val="21"/>
              </w:rPr>
              <w:t>一级指标</w:t>
            </w:r>
          </w:p>
        </w:tc>
        <w:tc>
          <w:tcPr>
            <w:tcW w:w="13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eastAsia="zh-CN"/>
              </w:rPr>
              <w:t>全区在册满足条件的申请精神障碍医疗救助的精神障碍患者应救尽救</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lang w:val="en-US" w:eastAsia="zh-CN"/>
              </w:rPr>
              <w:t>2021年完成</w:t>
            </w:r>
            <w:r>
              <w:rPr>
                <w:rFonts w:hint="eastAsia" w:ascii="宋体" w:hAnsi="宋体"/>
                <w:szCs w:val="21"/>
                <w:highlight w:val="none"/>
                <w:lang w:val="en-US" w:eastAsia="zh-CN"/>
              </w:rPr>
              <w:t>救助精神障碍患者6419人次</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84"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eastAsia="宋体"/>
                <w:szCs w:val="21"/>
                <w:highlight w:val="none"/>
                <w:lang w:eastAsia="zh-CN"/>
              </w:rPr>
              <w:t>符合救助条件的对象按规定纳入救助范围</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highlight w:val="none"/>
                <w:lang w:val="en-US" w:eastAsia="zh-CN"/>
              </w:rPr>
              <w:t>2021</w:t>
            </w:r>
            <w:r>
              <w:rPr>
                <w:rFonts w:hint="eastAsia" w:ascii="宋体" w:hAnsi="宋体" w:eastAsia="宋体"/>
                <w:szCs w:val="21"/>
                <w:highlight w:val="none"/>
                <w:lang w:val="en-US" w:eastAsia="zh-CN"/>
              </w:rPr>
              <w:t>年困难居民医疗救助共计1</w:t>
            </w:r>
            <w:r>
              <w:rPr>
                <w:rFonts w:hint="eastAsia" w:ascii="宋体" w:hAnsi="宋体"/>
                <w:szCs w:val="21"/>
                <w:highlight w:val="none"/>
                <w:lang w:val="en-US" w:eastAsia="zh-CN"/>
              </w:rPr>
              <w:t>360</w:t>
            </w:r>
            <w:r>
              <w:rPr>
                <w:rFonts w:hint="eastAsia" w:ascii="宋体" w:hAnsi="宋体" w:eastAsia="宋体"/>
                <w:szCs w:val="21"/>
                <w:highlight w:val="none"/>
                <w:lang w:val="en-US" w:eastAsia="zh-CN"/>
              </w:rPr>
              <w:t>人次</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05"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val="en-US" w:eastAsia="zh-CN"/>
              </w:rPr>
              <w:t>申请辖区内结算的特困人员、农村低保对象城乡居民医保参保人员，应保尽保</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2021年已结算5044人次</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32"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eastAsia="zh-CN"/>
              </w:rPr>
              <w:t>全区在册满足条件的申请精神障碍医疗救助的精神障碍患者应救尽救，保证救助质量</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cs="宋体"/>
                <w:color w:val="000000"/>
                <w:sz w:val="21"/>
                <w:szCs w:val="21"/>
                <w:lang w:val="en-US" w:eastAsia="zh-CN"/>
              </w:rPr>
              <w:t>精神障碍医疗救助共计</w:t>
            </w:r>
            <w:r>
              <w:rPr>
                <w:rFonts w:hint="eastAsia" w:ascii="宋体" w:hAnsi="宋体"/>
                <w:szCs w:val="21"/>
                <w:highlight w:val="none"/>
                <w:lang w:val="en-US" w:eastAsia="zh-CN"/>
              </w:rPr>
              <w:t>救助6419人次，合计支付108.17万元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1"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eastAsia="宋体"/>
                <w:szCs w:val="21"/>
                <w:highlight w:val="none"/>
                <w:lang w:eastAsia="zh-CN"/>
              </w:rPr>
              <w:t>困难居民医疗救助对象应救尽救</w:t>
            </w:r>
            <w:r>
              <w:rPr>
                <w:rFonts w:hint="eastAsia" w:ascii="宋体" w:hAnsi="宋体"/>
                <w:szCs w:val="21"/>
                <w:highlight w:val="none"/>
                <w:lang w:eastAsia="zh-CN"/>
              </w:rPr>
              <w:t>，保证救助质量</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kern w:val="2"/>
                <w:sz w:val="21"/>
                <w:szCs w:val="21"/>
                <w:lang w:val="en-US" w:eastAsia="zh-CN" w:bidi="ar-SA"/>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highlight w:val="none"/>
                <w:lang w:val="en-US" w:eastAsia="zh-CN"/>
              </w:rPr>
              <w:t>2021</w:t>
            </w:r>
            <w:r>
              <w:rPr>
                <w:rFonts w:hint="eastAsia" w:ascii="宋体" w:hAnsi="宋体" w:eastAsia="宋体"/>
                <w:szCs w:val="21"/>
                <w:highlight w:val="none"/>
                <w:lang w:val="en-US" w:eastAsia="zh-CN"/>
              </w:rPr>
              <w:t>年困难居民医疗救助</w:t>
            </w:r>
            <w:r>
              <w:rPr>
                <w:rFonts w:hint="eastAsia" w:ascii="宋体" w:hAnsi="宋体"/>
                <w:szCs w:val="21"/>
                <w:highlight w:val="none"/>
                <w:lang w:val="en-US" w:eastAsia="zh-CN"/>
              </w:rPr>
              <w:t>1360</w:t>
            </w:r>
            <w:r>
              <w:rPr>
                <w:rFonts w:hint="eastAsia" w:ascii="宋体" w:hAnsi="宋体" w:eastAsia="宋体"/>
                <w:szCs w:val="21"/>
                <w:highlight w:val="none"/>
                <w:lang w:val="en-US" w:eastAsia="zh-CN"/>
              </w:rPr>
              <w:t>人次，救助金额</w:t>
            </w:r>
            <w:r>
              <w:rPr>
                <w:rFonts w:hint="eastAsia" w:ascii="宋体" w:hAnsi="宋体"/>
                <w:szCs w:val="21"/>
                <w:highlight w:val="none"/>
                <w:lang w:val="en-US" w:eastAsia="zh-CN"/>
              </w:rPr>
              <w:t>646.2万元。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86"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val="en-US" w:eastAsia="zh-CN"/>
              </w:rPr>
              <w:t>申请辖区内结算的特困人员、农村低保对象城乡居民医保参保人员，应保尽保</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应保尽保</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2021年已结算5044人次，医疗救助结算金额997.76万元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8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val="en-US" w:eastAsia="zh-CN"/>
              </w:rPr>
            </w:pPr>
            <w:r>
              <w:rPr>
                <w:rFonts w:hint="eastAsia" w:ascii="宋体" w:hAnsi="宋体"/>
                <w:szCs w:val="21"/>
                <w:highlight w:val="none"/>
                <w:lang w:eastAsia="zh-CN"/>
              </w:rPr>
              <w:t>完成</w:t>
            </w:r>
            <w:r>
              <w:rPr>
                <w:rFonts w:hint="eastAsia" w:ascii="宋体" w:hAnsi="宋体"/>
                <w:szCs w:val="21"/>
                <w:highlight w:val="none"/>
              </w:rPr>
              <w:t>区属困难企业</w:t>
            </w:r>
            <w:r>
              <w:rPr>
                <w:rFonts w:hint="eastAsia" w:ascii="宋体" w:hAnsi="宋体"/>
                <w:szCs w:val="21"/>
                <w:highlight w:val="none"/>
                <w:lang w:eastAsia="zh-CN"/>
              </w:rPr>
              <w:t>个人账户</w:t>
            </w:r>
            <w:r>
              <w:rPr>
                <w:rFonts w:hint="eastAsia" w:ascii="宋体" w:hAnsi="宋体"/>
                <w:szCs w:val="21"/>
                <w:highlight w:val="none"/>
              </w:rPr>
              <w:t>资金</w:t>
            </w:r>
            <w:r>
              <w:rPr>
                <w:rFonts w:hint="eastAsia" w:ascii="宋体" w:hAnsi="宋体"/>
                <w:szCs w:val="21"/>
                <w:highlight w:val="none"/>
                <w:lang w:eastAsia="zh-CN"/>
              </w:rPr>
              <w:t>划拨</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应划尽划</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highlight w:val="none"/>
                <w:lang w:val="en-US" w:eastAsia="zh-CN"/>
              </w:rPr>
            </w:pPr>
            <w:r>
              <w:rPr>
                <w:rFonts w:hint="eastAsia" w:ascii="宋体" w:hAnsi="宋体"/>
                <w:szCs w:val="21"/>
                <w:highlight w:val="none"/>
                <w:lang w:val="en-US" w:eastAsia="zh-CN"/>
              </w:rPr>
              <w:t>2021年我区19家困难企业，参保总人数651人，共计划拨0万</w:t>
            </w:r>
          </w:p>
          <w:p>
            <w:pPr>
              <w:widowControl/>
              <w:spacing w:line="240" w:lineRule="exact"/>
              <w:jc w:val="left"/>
              <w:rPr>
                <w:rFonts w:hint="default" w:ascii="宋体" w:hAnsi="宋体"/>
                <w:szCs w:val="21"/>
                <w:lang w:val="en-US" w:eastAsia="zh-CN"/>
              </w:rPr>
            </w:pPr>
            <w:r>
              <w:rPr>
                <w:rFonts w:hint="eastAsia" w:ascii="宋体" w:hAnsi="宋体"/>
                <w:szCs w:val="21"/>
                <w:highlight w:val="none"/>
                <w:lang w:val="en-US" w:eastAsia="zh-CN"/>
              </w:rPr>
              <w:t>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87"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eastAsia="宋体"/>
                <w:szCs w:val="21"/>
                <w:lang w:val="en-US" w:eastAsia="zh-CN"/>
              </w:rPr>
              <w:t>城乡居民基本医疗保险配套专项资金</w:t>
            </w:r>
            <w:r>
              <w:rPr>
                <w:rFonts w:hint="eastAsia" w:ascii="宋体" w:hAnsi="宋体"/>
                <w:szCs w:val="21"/>
                <w:lang w:val="en-US" w:eastAsia="zh-CN"/>
              </w:rPr>
              <w:t>上缴到位</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及时上解</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2021年向市财政局共计上解3354.77万元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6</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6</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城乡居民医保下拨经费及时下拨</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及时下拨</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2021年共下拨17个街道（乡镇），完成下拨30万元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14"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highlight w:val="none"/>
                <w:lang w:val="en-US" w:eastAsia="zh-CN"/>
              </w:rPr>
              <w:t>用于确保单位必要的局机关运行公用经费和公务接待费</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厉行节俭</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2021年完成支付145.47万元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8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用于确保全区医保业务正常开展医保业务经办开支</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厉行节俭</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2021年完成支付12万元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43"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328"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解决农村困难群众及低保对象、低收入家庭成员因病致贫、因病返贫的问题；解决参保人员的基本医疗支出</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解决基本医疗支出，提高经济效益</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解决基本医疗支出，提高经济效益</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17"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用于医疗基金监督管理</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维护基金安全</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szCs w:val="21"/>
                <w:lang w:val="en-US" w:eastAsia="zh-CN"/>
              </w:rPr>
            </w:pPr>
            <w:r>
              <w:rPr>
                <w:rFonts w:hint="eastAsia" w:ascii="宋体" w:hAnsi="宋体"/>
                <w:szCs w:val="21"/>
                <w:lang w:val="en-US" w:eastAsia="zh-CN"/>
              </w:rPr>
              <w:t>2021年5月开展了“维护基金安全，打击欺诈骗保”的集中宣传月活动”</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61"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用于协议医疗机构管理开支</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用于协议医疗机构管理</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规范协议医疗管理机构日常医保运行</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3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医疗救助的开展有利于维护社会稳定</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维护社会稳定</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维护社会稳定</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328"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辖区内满足条件的精神障碍救助、“一站式”医疗救助、困难居民医疗救助、城乡居民参保等工作做到服务对象满意</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做到让服务对象满意</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基本满意</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6" w:hRule="exact"/>
          <w:jc w:val="center"/>
        </w:trPr>
        <w:tc>
          <w:tcPr>
            <w:tcW w:w="6954"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总分</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100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100</w:t>
            </w:r>
          </w:p>
        </w:tc>
        <w:tc>
          <w:tcPr>
            <w:tcW w:w="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ascii="方正小标宋_GBK" w:hAnsi="方正小标宋_GBK" w:eastAsia="方正小标宋_GBK" w:cs="方正小标宋_GBK"/>
          <w:sz w:val="36"/>
          <w:szCs w:val="36"/>
        </w:rPr>
      </w:pPr>
      <w:r>
        <w:rPr>
          <w:rFonts w:hint="eastAsia" w:ascii="仿宋" w:hAnsi="仿宋" w:eastAsia="仿宋" w:cs="仿宋"/>
          <w:sz w:val="36"/>
          <w:szCs w:val="36"/>
          <w:lang w:eastAsia="zh-CN"/>
        </w:rPr>
        <w:t>2021</w:t>
      </w:r>
      <w:r>
        <w:rPr>
          <w:rFonts w:hint="eastAsia" w:ascii="方正小标宋_GBK" w:hAnsi="方正小标宋_GBK" w:eastAsia="方正小标宋_GBK" w:cs="方正小标宋_GBK"/>
          <w:sz w:val="36"/>
          <w:szCs w:val="36"/>
        </w:rPr>
        <w:t>年度</w:t>
      </w:r>
      <w:r>
        <w:rPr>
          <w:rFonts w:hint="eastAsia" w:ascii="方正小标宋_GBK" w:hAnsi="方正小标宋_GBK" w:eastAsia="方正小标宋_GBK" w:cs="方正小标宋_GBK"/>
          <w:sz w:val="36"/>
          <w:szCs w:val="36"/>
          <w:lang w:eastAsia="zh-CN"/>
        </w:rPr>
        <w:t>长沙市岳麓区医疗保障局</w:t>
      </w:r>
      <w:r>
        <w:rPr>
          <w:rFonts w:hint="eastAsia" w:ascii="方正小标宋_GBK" w:hAnsi="方正小标宋_GBK" w:eastAsia="方正小标宋_GBK" w:cs="方正小标宋_GBK"/>
          <w:sz w:val="36"/>
          <w:szCs w:val="36"/>
        </w:rPr>
        <w:t>部门整体支出预算绩效</w:t>
      </w:r>
      <w:r>
        <w:rPr>
          <w:rFonts w:ascii="方正小标宋_GBK" w:hAnsi="方正小标宋_GBK" w:eastAsia="方正小标宋_GBK" w:cs="方正小标宋_GBK"/>
          <w:sz w:val="36"/>
          <w:szCs w:val="36"/>
        </w:rPr>
        <w:t>自评报告</w:t>
      </w:r>
    </w:p>
    <w:p>
      <w:pPr>
        <w:spacing w:line="440" w:lineRule="exact"/>
        <w:rPr>
          <w:rFonts w:hint="eastAsia" w:ascii="宋体" w:hAnsi="宋体" w:eastAsia="仿宋_GB2312"/>
          <w:sz w:val="32"/>
          <w:szCs w:val="32"/>
        </w:rPr>
      </w:pPr>
    </w:p>
    <w:p>
      <w:pPr>
        <w:spacing w:line="600" w:lineRule="exact"/>
        <w:ind w:firstLine="640" w:firstLineChars="200"/>
        <w:outlineLvl w:val="0"/>
        <w:rPr>
          <w:rFonts w:hint="eastAsia" w:ascii="宋体" w:hAnsi="宋体" w:eastAsia="仿宋_GB2312"/>
          <w:sz w:val="32"/>
          <w:szCs w:val="32"/>
        </w:rPr>
      </w:pPr>
      <w:r>
        <w:rPr>
          <w:rFonts w:hint="eastAsia" w:ascii="黑体" w:hAnsi="黑体" w:eastAsia="黑体"/>
          <w:sz w:val="32"/>
          <w:szCs w:val="32"/>
          <w:lang w:val="en-US" w:eastAsia="zh-CN"/>
        </w:rPr>
        <w:t xml:space="preserve">         </w:t>
      </w:r>
      <w:r>
        <w:rPr>
          <w:rFonts w:hint="eastAsia" w:ascii="楷体_GB2312" w:hAnsi="楷体_GB2312" w:eastAsia="楷体_GB2312" w:cs="楷体_GB2312"/>
          <w:b/>
          <w:bCs/>
          <w:sz w:val="32"/>
          <w:szCs w:val="32"/>
        </w:rPr>
        <w:t>（一）部门（单位）基本情况</w:t>
      </w:r>
    </w:p>
    <w:p>
      <w:pPr>
        <w:widowControl w:val="0"/>
        <w:spacing w:line="55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机构情况</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长沙市岳麓区医疗保障局是区政府工作部门，为正科级，内设局办公室和综合业务科。下设医疗保险事务中心，为事业编制二级机构。</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2.编制情况</w:t>
      </w:r>
    </w:p>
    <w:p>
      <w:pPr>
        <w:widowControl w:val="0"/>
        <w:spacing w:line="55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岳麓区医疗保障局共有编制</w:t>
      </w:r>
      <w:r>
        <w:rPr>
          <w:rFonts w:hint="eastAsia" w:ascii="仿宋_GB2312" w:hAnsi="仿宋_GB2312" w:eastAsia="仿宋_GB2312" w:cs="仿宋_GB2312"/>
          <w:sz w:val="32"/>
          <w:szCs w:val="32"/>
          <w:lang w:val="en-US" w:eastAsia="zh-CN"/>
        </w:rPr>
        <w:t>22个</w:t>
      </w:r>
      <w:r>
        <w:rPr>
          <w:rFonts w:hint="eastAsia" w:ascii="仿宋_GB2312" w:hAnsi="仿宋_GB2312" w:eastAsia="仿宋_GB2312" w:cs="仿宋_GB2312"/>
          <w:sz w:val="32"/>
          <w:szCs w:val="32"/>
          <w:lang w:eastAsia="zh-CN"/>
        </w:rPr>
        <w:t>，其中核定行政编制4个，核定全额拨款事业编制11个，临聘编制</w:t>
      </w:r>
      <w:r>
        <w:rPr>
          <w:rFonts w:hint="eastAsia" w:ascii="仿宋_GB2312" w:hAnsi="仿宋_GB2312" w:eastAsia="仿宋_GB2312" w:cs="仿宋_GB2312"/>
          <w:sz w:val="32"/>
          <w:szCs w:val="32"/>
          <w:lang w:val="en-US" w:eastAsia="zh-CN"/>
        </w:rPr>
        <w:t>7个。</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3.人员情况</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岳麓区医疗保障局现有工作人员</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人，其中在职人员</w:t>
      </w:r>
      <w:r>
        <w:rPr>
          <w:rFonts w:hint="eastAsia" w:ascii="仿宋_GB2312" w:hAnsi="仿宋_GB2312" w:eastAsia="仿宋_GB2312" w:cs="仿宋_GB2312"/>
          <w:sz w:val="32"/>
          <w:szCs w:val="32"/>
          <w:lang w:val="en-US" w:eastAsia="zh-CN"/>
        </w:rPr>
        <w:t>14人（含军转干部2人），临聘</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7人</w:t>
      </w:r>
      <w:r>
        <w:rPr>
          <w:rFonts w:hint="eastAsia" w:ascii="仿宋_GB2312" w:hAnsi="仿宋_GB2312" w:eastAsia="仿宋_GB2312" w:cs="仿宋_GB2312"/>
          <w:sz w:val="32"/>
          <w:szCs w:val="32"/>
          <w:lang w:eastAsia="zh-CN"/>
        </w:rPr>
        <w:t>。</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4、职能职责</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本单位主要职能职责如下：</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）贯彻执行国家、省、市关于医疗保险、生育保险、医疗救助等医疗保障制度的法律法规和规章制度。</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）组织实施全区医疗保险、生育保险、医疗救助等医疗保障政策、规划和标准，对全区医疗保障工作进行综合管理、监督指导、协调服务。</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）组织实施全区医疗保障基金监督管理办法，监督管理相关医疗保障基金，建立健全医疗保障基金安全防控机制，推进医疗保障基金支付方式改革。</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）落实全区医疗保障筹资和待遇政策，完善动态调整和区域调剂平衡机制，统筹城乡医疗保障待遇标准，建立健全与筹资水平相适应的待遇调整机制。组织实施长期护理保险等补充医疗保险制度改革方案。</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）贯彻执行省、市城乡统一的药品、医用耗材，医疗服务项目、医疗服务设施等医保目录和支付标准，建立健全全区医药服务价格执行监管和信息监测制度。</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）拟订由区级负责管理的药品、医用耗材的招标采购政策，指导、监督药品、医用耗材招标采购工作。</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）拟订全区定点医药机构协议和支付管理办法并组织实施，建立健全医疗保障信用评价体系和信息披露制度，监督管理纳入医保范围内的医疗服务行为和医疗费用，依法查处医疗保障领域违法违规行为。</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负责区本级医疗保障经办管理。负责建立全区医疗保障公共服务体系，会同数据资源行政主管部门推进全区医疗保障信息化建设。指导和监督全区医疗保险、生育保险、医疗救助等医疗保障业务工作。执行异地就医管理和费用结算政策。建立健全医疗保障关系转移接续制度。开展医疗保障领域对外合作交流。</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）完成区委、区政府交办的其他任务。</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职能转变。区医保局应完善统一的城乡居民基本医疗保险制度和大病保险制度，巩固完善城乡医疗救助制度，建立健全覆盖全民、城乡统筹的多层次医疗保障体系，不断提高医疗保障水平，确保医保资金合理使用、安全可控，推进医疗、医保、医药“三医联动”改革，更好保障人民群众就医需求、减轻医药费用负担。</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）与区卫生健康局的有关职责分工，区卫生健康局、区医保局等部门在医疗、医保、医药等方面加强制度、政策衔接，建立沟通协商机制，协同推进改革，提高医疗资源使用效率和医疗保障水平。</w:t>
      </w:r>
    </w:p>
    <w:p>
      <w:pPr>
        <w:numPr>
          <w:ilvl w:val="0"/>
          <w:numId w:val="3"/>
        </w:numPr>
        <w:spacing w:line="60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部门（单位）整体支出规模、使用方向和主要内容、涉及范围等</w:t>
      </w:r>
    </w:p>
    <w:p>
      <w:pPr>
        <w:numPr>
          <w:ilvl w:val="0"/>
          <w:numId w:val="0"/>
        </w:numPr>
        <w:spacing w:line="600" w:lineRule="exact"/>
        <w:outlineLvl w:val="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2021年度</w:t>
      </w:r>
      <w:r>
        <w:rPr>
          <w:rFonts w:hint="eastAsia" w:ascii="宋体" w:hAnsi="宋体" w:eastAsia="仿宋_GB2312"/>
          <w:sz w:val="32"/>
          <w:szCs w:val="32"/>
          <w:lang w:val="en-US" w:eastAsia="zh-CN"/>
        </w:rPr>
        <w:t>长沙市岳麓区医疗保障局部门资金</w:t>
      </w:r>
      <w:r>
        <w:rPr>
          <w:rFonts w:hint="eastAsia" w:ascii="仿宋_GB2312" w:hAnsi="仿宋_GB2312" w:eastAsia="仿宋_GB2312" w:cs="仿宋_GB2312"/>
          <w:sz w:val="32"/>
          <w:szCs w:val="32"/>
          <w:lang w:eastAsia="zh-CN"/>
        </w:rPr>
        <w:t>支出预算</w:t>
      </w:r>
      <w:r>
        <w:rPr>
          <w:rFonts w:hint="eastAsia" w:ascii="仿宋_GB2312" w:hAnsi="仿宋_GB2312" w:eastAsia="仿宋_GB2312" w:cs="仿宋_GB2312"/>
          <w:sz w:val="32"/>
          <w:szCs w:val="32"/>
          <w:lang w:val="en-US" w:eastAsia="zh-CN"/>
        </w:rPr>
        <w:t>4847.61万元，其中年初预算4640.47</w:t>
      </w:r>
      <w:r>
        <w:rPr>
          <w:rFonts w:hint="eastAsia" w:ascii="仿宋_GB2312" w:hAnsi="仿宋_GB2312" w:eastAsia="仿宋_GB2312" w:cs="仿宋_GB2312"/>
          <w:sz w:val="32"/>
          <w:szCs w:val="32"/>
          <w:lang w:eastAsia="zh-CN"/>
        </w:rPr>
        <w:t>万元（含基本支出</w:t>
      </w:r>
      <w:r>
        <w:rPr>
          <w:rFonts w:hint="eastAsia" w:ascii="仿宋_GB2312" w:hAnsi="仿宋_GB2312" w:eastAsia="仿宋_GB2312" w:cs="仿宋_GB2312"/>
          <w:sz w:val="32"/>
          <w:szCs w:val="32"/>
          <w:lang w:val="en-US" w:eastAsia="zh-CN"/>
        </w:rPr>
        <w:t>145.47</w:t>
      </w:r>
      <w:r>
        <w:rPr>
          <w:rFonts w:hint="eastAsia" w:ascii="仿宋_GB2312" w:hAnsi="仿宋_GB2312" w:eastAsia="仿宋_GB2312" w:cs="仿宋_GB2312"/>
          <w:sz w:val="32"/>
          <w:szCs w:val="32"/>
          <w:lang w:eastAsia="zh-CN"/>
        </w:rPr>
        <w:t>万元，项目支出</w:t>
      </w:r>
      <w:r>
        <w:rPr>
          <w:rFonts w:hint="eastAsia" w:ascii="仿宋_GB2312" w:hAnsi="仿宋_GB2312" w:eastAsia="仿宋_GB2312" w:cs="仿宋_GB2312"/>
          <w:sz w:val="32"/>
          <w:szCs w:val="32"/>
          <w:lang w:val="en-US" w:eastAsia="zh-CN"/>
        </w:rPr>
        <w:t>4495</w:t>
      </w:r>
      <w:r>
        <w:rPr>
          <w:rFonts w:hint="eastAsia" w:ascii="仿宋_GB2312" w:hAnsi="仿宋_GB2312" w:eastAsia="仿宋_GB2312" w:cs="仿宋_GB2312"/>
          <w:sz w:val="32"/>
          <w:szCs w:val="32"/>
          <w:lang w:eastAsia="zh-CN"/>
        </w:rPr>
        <w:t>万元）、年中预算调整基本支出人员支出</w:t>
      </w:r>
      <w:r>
        <w:rPr>
          <w:rFonts w:hint="eastAsia" w:ascii="仿宋_GB2312" w:hAnsi="仿宋_GB2312" w:eastAsia="仿宋_GB2312" w:cs="仿宋_GB2312"/>
          <w:sz w:val="32"/>
          <w:szCs w:val="32"/>
          <w:lang w:val="en-US" w:eastAsia="zh-CN"/>
        </w:rPr>
        <w:t>131.57万元、上年国库结余15.58万元、特殊群体医疗费用专项资金50万元、岳财专指提前下达向上争资工作经费10万元，合计4847.61万元。</w:t>
      </w:r>
      <w:r>
        <w:rPr>
          <w:rFonts w:hint="eastAsia" w:ascii="宋体" w:hAnsi="宋体" w:eastAsia="仿宋_GB2312"/>
          <w:sz w:val="32"/>
          <w:szCs w:val="32"/>
          <w:lang w:val="en-US" w:eastAsia="zh-CN"/>
        </w:rPr>
        <w:t>2021年长沙市岳麓区医疗保障局部门资金预算执行数是5514.89万元，其中基本支出266.99万元，项目支出272.73万元，使用财政医疗救助专户和财政性专户完成支付4975.17万元，合计全年执行数5514.89万元，全年执行率为114%。</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二、部门（单位）整体支出管理及使用情况</w:t>
      </w:r>
    </w:p>
    <w:p>
      <w:pPr>
        <w:numPr>
          <w:ilvl w:val="0"/>
          <w:numId w:val="0"/>
        </w:numPr>
        <w:spacing w:line="60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w:t>
      </w:r>
    </w:p>
    <w:p>
      <w:pPr>
        <w:spacing w:line="600" w:lineRule="exact"/>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2021</w:t>
      </w:r>
      <w:r>
        <w:rPr>
          <w:rFonts w:hint="eastAsia" w:ascii="仿宋_GB2312" w:hAnsi="仿宋_GB2312" w:eastAsia="仿宋_GB2312" w:cs="仿宋_GB2312"/>
          <w:sz w:val="32"/>
          <w:szCs w:val="32"/>
          <w:lang w:eastAsia="zh-CN"/>
        </w:rPr>
        <w:t>年度</w:t>
      </w:r>
      <w:r>
        <w:rPr>
          <w:rFonts w:hint="eastAsia" w:ascii="宋体" w:hAnsi="宋体" w:eastAsia="仿宋_GB2312"/>
          <w:sz w:val="32"/>
          <w:szCs w:val="32"/>
          <w:lang w:val="en-US" w:eastAsia="zh-CN"/>
        </w:rPr>
        <w:t>长沙市岳麓区医疗保障局部门资金基本支出266.99万元，其中人员支出239.8万元，公用支出27.19万元。</w:t>
      </w:r>
    </w:p>
    <w:p>
      <w:pPr>
        <w:numPr>
          <w:ilvl w:val="0"/>
          <w:numId w:val="0"/>
        </w:numPr>
        <w:spacing w:line="60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（二）专项支出</w:t>
      </w:r>
    </w:p>
    <w:p>
      <w:pPr>
        <w:widowControl w:val="0"/>
        <w:numPr>
          <w:ilvl w:val="0"/>
          <w:numId w:val="0"/>
        </w:numPr>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1、项目支出实际使用情况分析</w:t>
      </w:r>
    </w:p>
    <w:p>
      <w:pPr>
        <w:widowControl w:val="0"/>
        <w:spacing w:line="55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长沙市岳麓区医疗保障局部门项目支出预算执行数是272.73万元，使用财政医疗救助专户和财政性专户完成支付4975.17万元，合计全年执行数5247.9万元。其中：精神障碍患者医疗救助经费完成救助辖区内精神障碍患者 6419 人次，救助金额108.17万元，项目执行率54%；2021年辖区内共有困难企业19家，参保总人数651人，区属困难企业划拨个人账户资金因新旧系统切换，实际支付0万元，完成率0%；困难居民医疗救助经费完成救助辖区内困难居民1360人次，使用区医疗救助专户救助金额646.23万元，项目执行率161.55%；“一站式”健康扶贫医疗救助资金完成救助辖区内特困人员、农村低保对象城乡居民医保参保人员5044人次，完成医疗救助结算金额997.76万元（其中使用区财政局医疗救助专户支付300万元，项目执行率75%）；城乡居民基本医疗保险配套专项资金通过区财政性资金专户按时足额上解至上级单位，保证城乡居民基本医疗保险参保待遇，上解2021年区属困难企业职工基本医疗保险补助资金82.24万元，上解长沙市城乡居民基本医疗保险2021年度配套补助资金3115.67万元，上解2021年度城乡居民80周岁以上参保人员医疗保险补助资金156.86万元，合计配套上解城乡居民基本医疗保险3354.77万元，项目执行率101%；城乡居民医保（下拨）专项经费完成及时下拨，2021年共下拨17个街道（乡镇），完成下拨30万元，项目执行率100%；为维护医保基金安全，共计支付医疗保险基金监管经费10万元，项目执行率100%；为规范协议医疗机构运行，共计支付协议医疗机构管理经费14.99万元，项目执行率99%；完成医保业务经办专项12万元，项目执行率100%；通过国库结余完成重症精神病人住院补贴资金14.15万元，项目执行率100%；通过国库结余完成2020向上争资工作经费1.43万元，项目执行率100%；完成特殊群体医疗费用48.4万，项目执行率96.8%；完成提前下达向上争资工作经费10万元，项目执行率100%。</w:t>
      </w:r>
    </w:p>
    <w:p>
      <w:pPr>
        <w:widowControl w:val="0"/>
        <w:numPr>
          <w:ilvl w:val="0"/>
          <w:numId w:val="4"/>
        </w:numPr>
        <w:spacing w:line="550" w:lineRule="exact"/>
        <w:ind w:left="0"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项目支出管理情况分析</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2021年度</w:t>
      </w:r>
      <w:r>
        <w:rPr>
          <w:rFonts w:hint="eastAsia" w:ascii="宋体" w:hAnsi="宋体" w:eastAsia="仿宋_GB2312"/>
          <w:sz w:val="32"/>
          <w:szCs w:val="32"/>
          <w:lang w:val="en-US" w:eastAsia="zh-CN"/>
        </w:rPr>
        <w:t>长沙市岳麓区医疗保障局部门资金项目支出年初预算4495万元，</w:t>
      </w:r>
      <w:r>
        <w:rPr>
          <w:rFonts w:hint="eastAsia" w:ascii="仿宋_GB2312" w:hAnsi="仿宋_GB2312" w:eastAsia="仿宋_GB2312" w:cs="仿宋_GB2312"/>
          <w:sz w:val="32"/>
          <w:szCs w:val="32"/>
          <w:lang w:val="en-US" w:eastAsia="zh-CN"/>
        </w:rPr>
        <w:t>上年国库结余重症精神病人住院补贴资金14.15万元、上年国库结余2020年向上争资工作经费1.43万元、岳财专指提前下达向上争资工作经费10万元、岳财专指特殊群体医疗费用50万元，合计项目资金总投入4570.58万元。 2021年长沙市岳麓区医疗保障局部门项目支出预算执行数是272.73万元，</w:t>
      </w:r>
      <w:r>
        <w:rPr>
          <w:rFonts w:hint="eastAsia" w:ascii="宋体" w:hAnsi="宋体" w:eastAsia="仿宋_GB2312"/>
          <w:sz w:val="32"/>
          <w:szCs w:val="32"/>
          <w:lang w:val="en-US" w:eastAsia="zh-CN"/>
        </w:rPr>
        <w:t>使用财政医疗救助专户和财政性专户完成支付</w:t>
      </w:r>
      <w:r>
        <w:rPr>
          <w:rFonts w:hint="eastAsia" w:ascii="仿宋_GB2312" w:hAnsi="仿宋_GB2312" w:eastAsia="仿宋_GB2312" w:cs="仿宋_GB2312"/>
          <w:sz w:val="32"/>
          <w:szCs w:val="32"/>
          <w:lang w:val="en-US" w:eastAsia="zh-CN"/>
        </w:rPr>
        <w:t>4975.17</w:t>
      </w:r>
      <w:r>
        <w:rPr>
          <w:rFonts w:hint="eastAsia" w:ascii="宋体" w:hAnsi="宋体" w:eastAsia="仿宋_GB2312"/>
          <w:sz w:val="32"/>
          <w:szCs w:val="32"/>
          <w:lang w:val="en-US" w:eastAsia="zh-CN"/>
        </w:rPr>
        <w:t>万元，合计全年执行数</w:t>
      </w:r>
      <w:r>
        <w:rPr>
          <w:rFonts w:hint="eastAsia" w:ascii="仿宋_GB2312" w:hAnsi="仿宋_GB2312" w:eastAsia="仿宋_GB2312" w:cs="仿宋_GB2312"/>
          <w:sz w:val="32"/>
          <w:szCs w:val="32"/>
          <w:lang w:val="en-US" w:eastAsia="zh-CN"/>
        </w:rPr>
        <w:t>5247.9</w:t>
      </w:r>
      <w:r>
        <w:rPr>
          <w:rFonts w:hint="eastAsia" w:ascii="宋体" w:hAnsi="宋体" w:eastAsia="仿宋_GB2312"/>
          <w:sz w:val="32"/>
          <w:szCs w:val="32"/>
          <w:lang w:val="en-US" w:eastAsia="zh-CN"/>
        </w:rPr>
        <w:t>万元。项目支出总执行率114%。</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（一）专项组织情况分析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val="en-US" w:eastAsia="zh-CN"/>
        </w:rPr>
        <w:t>本单位不包括项目招投标、调整、竣工验收等情况。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（二）专项管理情况分析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val="en-US" w:eastAsia="zh-CN"/>
        </w:rPr>
        <w:t>本单位不包括项目招投标、调整、竣工验收等情况，没有与之相关的情况分析。其他项目管理制度建设和日常检查监督管理执行良好。</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四、部门（单位）整体支出绩效情况</w:t>
      </w:r>
    </w:p>
    <w:p>
      <w:pPr>
        <w:spacing w:line="600" w:lineRule="exact"/>
        <w:ind w:firstLine="640" w:firstLineChars="200"/>
        <w:outlineLvl w:val="0"/>
        <w:rPr>
          <w:rFonts w:hint="eastAsia" w:ascii="宋体" w:hAnsi="宋体" w:eastAsia="仿宋_GB2312"/>
          <w:b/>
          <w:sz w:val="32"/>
          <w:szCs w:val="32"/>
        </w:rPr>
      </w:pPr>
      <w:r>
        <w:rPr>
          <w:rFonts w:hint="eastAsia" w:ascii="宋体" w:hAnsi="宋体" w:eastAsia="仿宋_GB2312"/>
          <w:sz w:val="32"/>
          <w:szCs w:val="32"/>
          <w:lang w:val="en-US" w:eastAsia="zh-CN"/>
        </w:rPr>
        <w:t>2021年基本完成</w:t>
      </w:r>
      <w:r>
        <w:rPr>
          <w:rFonts w:hint="eastAsia" w:ascii="宋体" w:hAnsi="宋体" w:eastAsia="仿宋_GB2312"/>
          <w:sz w:val="32"/>
          <w:szCs w:val="32"/>
        </w:rPr>
        <w:t>本部门预算支出的绩效目标，</w:t>
      </w:r>
      <w:r>
        <w:rPr>
          <w:rFonts w:hint="eastAsia" w:ascii="宋体" w:hAnsi="宋体" w:eastAsia="仿宋_GB2312"/>
          <w:sz w:val="32"/>
          <w:szCs w:val="32"/>
          <w:lang w:val="en-US" w:eastAsia="zh-CN"/>
        </w:rPr>
        <w:t>50万元以上的预算项目有7个，合计金额4428万元，占部门年初预算批复4495万元的99%，其中困难居民医疗救助经费预算执行率162%、“一站式”健康扶贫医疗救助资金预算执行率249%、城乡居民基本医疗保险配套专项资金预算执行率101%、区属困难企业医保个人账户专项资金预算执行率0%、精神障碍患者医疗救助预算执行率54%，合计预算执行率为114%，有效地解决了辖区内医保民生问题，通过一系列的医疗救助措施和国家医保政策扶持有效地解决了农村困难群众因病致贫、因病返贫的问题，维护了社会稳定，提高了农村贫困人口医疗保障水平，减轻了农村贫困人口医疗负担，让农村贫困人口享受了更加方便快捷的就医结算服务，完善了城乡居民基本医疗保障体系，很好地履行了区医保部门的职责职能，让人民群众生活更加幸福，服务满意度提高。</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五、存在的主要问题及原因分析</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2021年，精神障碍患者医疗救助共救助6419人次，</w:t>
      </w:r>
      <w:r>
        <w:rPr>
          <w:rFonts w:hint="eastAsia" w:ascii="宋体" w:hAnsi="宋体" w:eastAsia="仿宋_GB2312"/>
          <w:color w:val="auto"/>
          <w:sz w:val="32"/>
          <w:szCs w:val="32"/>
          <w:lang w:val="en-US" w:eastAsia="zh-CN"/>
        </w:rPr>
        <w:t>预算执行率为54%，主要原因是2021年特困供养人员、农村低保精神</w:t>
      </w:r>
      <w:r>
        <w:rPr>
          <w:rFonts w:hint="eastAsia" w:ascii="宋体" w:hAnsi="宋体" w:eastAsia="仿宋_GB2312"/>
          <w:sz w:val="32"/>
          <w:szCs w:val="32"/>
          <w:lang w:val="en-US" w:eastAsia="zh-CN"/>
        </w:rPr>
        <w:t>障碍患者在精神障碍患者定点医院住院时，优先按照《关于做好全省健康扶贫“一站式”结算工作的通知》（湘人社发〔2018〕46 号）进行了一站式结算，未走精神障碍资金救助。同时在支付时，优先使用了结余资金及上级资金，导致区本级预算执行率低。</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eastAsia="zh-CN"/>
        </w:rPr>
        <w:t>区属困难企业划拨个人账户资金项目年初部门预算批复资金执行率为</w:t>
      </w:r>
      <w:r>
        <w:rPr>
          <w:rFonts w:hint="eastAsia" w:ascii="宋体" w:hAnsi="宋体" w:eastAsia="仿宋_GB2312"/>
          <w:sz w:val="32"/>
          <w:szCs w:val="32"/>
          <w:lang w:val="en-US" w:eastAsia="zh-CN"/>
        </w:rPr>
        <w:t>0%，主要原因是因为困难企业职工个人账户每年度是在省人社厅对外公布职工基本养老保险缴费基数后，根据缴费基数下限核定每位职工应划拨数。2021年因省人社厅于11月18日才印发湖南省人力资源和社会保障厅 湖南省财政厅 国家税务总局湖南省税务局《关于公布 2021 年职工基本养老保险缴费基数和计发基数的通知》（湘人社规〔2021〕21 号），导致困难企业职工个人账户核算工作延迟。12月因切换到湖南省医保信息平台，平台暂不支持困难企业职工个人账户划拨功能。所以导致2021年区属困难企业划拨个人账户资金执行率为0。</w:t>
      </w:r>
    </w:p>
    <w:p>
      <w:pPr>
        <w:spacing w:line="600" w:lineRule="exact"/>
        <w:ind w:firstLine="640" w:firstLineChars="200"/>
        <w:outlineLvl w:val="0"/>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下一步改进措施和有关建议</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根据本单位的情况，合理安排资金、规范使用范围，提高资金使用效率，同时联合街道办事处、社区及卫生院、医院等加强政策的宣传力度，积极对接省医保信息系统工程师，积极推动工作。对于机关运行经费要厉行节约，切实发挥好区医保局相关功能。</w:t>
      </w:r>
    </w:p>
    <w:p>
      <w:pPr>
        <w:numPr>
          <w:ilvl w:val="0"/>
          <w:numId w:val="0"/>
        </w:num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lang w:eastAsia="zh-CN"/>
        </w:rPr>
        <w:t>七、</w:t>
      </w:r>
      <w:r>
        <w:rPr>
          <w:rFonts w:hint="eastAsia" w:ascii="黑体" w:hAnsi="黑体" w:eastAsia="黑体"/>
          <w:b/>
          <w:sz w:val="32"/>
          <w:szCs w:val="32"/>
        </w:rPr>
        <w:t>其他需要说明的情况</w:t>
      </w:r>
    </w:p>
    <w:p>
      <w:pPr>
        <w:spacing w:line="600" w:lineRule="exact"/>
        <w:ind w:firstLine="640" w:firstLineChars="200"/>
        <w:outlineLvl w:val="0"/>
      </w:pPr>
      <w:r>
        <w:rPr>
          <w:rFonts w:hint="eastAsia" w:ascii="宋体" w:hAnsi="宋体" w:eastAsia="仿宋_GB2312"/>
          <w:sz w:val="32"/>
          <w:szCs w:val="32"/>
          <w:lang w:val="en-US" w:eastAsia="zh-CN"/>
        </w:rPr>
        <w:t>无。</w:t>
      </w:r>
    </w:p>
    <w:sectPr>
      <w:pgSz w:w="11906" w:h="16838"/>
      <w:pgMar w:top="1247" w:right="1361"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DA7CF"/>
    <w:multiLevelType w:val="singleLevel"/>
    <w:tmpl w:val="228DA7CF"/>
    <w:lvl w:ilvl="0" w:tentative="0">
      <w:start w:val="2"/>
      <w:numFmt w:val="decimal"/>
      <w:lvlText w:val="%1."/>
      <w:lvlJc w:val="left"/>
      <w:pPr>
        <w:tabs>
          <w:tab w:val="left" w:pos="312"/>
        </w:tabs>
      </w:pPr>
    </w:lvl>
  </w:abstractNum>
  <w:abstractNum w:abstractNumId="1">
    <w:nsid w:val="4714685B"/>
    <w:multiLevelType w:val="singleLevel"/>
    <w:tmpl w:val="4714685B"/>
    <w:lvl w:ilvl="0" w:tentative="0">
      <w:start w:val="1"/>
      <w:numFmt w:val="decimal"/>
      <w:suff w:val="nothing"/>
      <w:lvlText w:val="%1、"/>
      <w:lvlJc w:val="left"/>
      <w:pPr>
        <w:ind w:left="185" w:leftChars="0" w:firstLine="0" w:firstLineChars="0"/>
      </w:pPr>
    </w:lvl>
  </w:abstractNum>
  <w:abstractNum w:abstractNumId="2">
    <w:nsid w:val="4F76F9AF"/>
    <w:multiLevelType w:val="singleLevel"/>
    <w:tmpl w:val="4F76F9AF"/>
    <w:lvl w:ilvl="0" w:tentative="0">
      <w:start w:val="2"/>
      <w:numFmt w:val="chineseCounting"/>
      <w:suff w:val="nothing"/>
      <w:lvlText w:val="（%1）"/>
      <w:lvlJc w:val="left"/>
      <w:rPr>
        <w:rFonts w:hint="eastAsia"/>
      </w:rPr>
    </w:lvl>
  </w:abstractNum>
  <w:abstractNum w:abstractNumId="3">
    <w:nsid w:val="6BE345C6"/>
    <w:multiLevelType w:val="singleLevel"/>
    <w:tmpl w:val="6BE345C6"/>
    <w:lvl w:ilvl="0" w:tentative="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69A816FA"/>
    <w:rsid w:val="011F4758"/>
    <w:rsid w:val="01812436"/>
    <w:rsid w:val="01E34CE2"/>
    <w:rsid w:val="034C47FD"/>
    <w:rsid w:val="037E69B7"/>
    <w:rsid w:val="04650DED"/>
    <w:rsid w:val="048D7BFE"/>
    <w:rsid w:val="06D501FB"/>
    <w:rsid w:val="0754059D"/>
    <w:rsid w:val="083251F5"/>
    <w:rsid w:val="08795A1A"/>
    <w:rsid w:val="09914974"/>
    <w:rsid w:val="0B0F271A"/>
    <w:rsid w:val="0BF212D9"/>
    <w:rsid w:val="0C156FCE"/>
    <w:rsid w:val="0D701988"/>
    <w:rsid w:val="0DB67492"/>
    <w:rsid w:val="0F1618B6"/>
    <w:rsid w:val="0F5212D8"/>
    <w:rsid w:val="0F843377"/>
    <w:rsid w:val="0FE01015"/>
    <w:rsid w:val="10006E4A"/>
    <w:rsid w:val="102716B5"/>
    <w:rsid w:val="10EE595E"/>
    <w:rsid w:val="11CD3F17"/>
    <w:rsid w:val="1382479F"/>
    <w:rsid w:val="14261C7C"/>
    <w:rsid w:val="14AF31C1"/>
    <w:rsid w:val="154E2A7F"/>
    <w:rsid w:val="171635F3"/>
    <w:rsid w:val="178D4388"/>
    <w:rsid w:val="17DE4459"/>
    <w:rsid w:val="18EB7907"/>
    <w:rsid w:val="19102254"/>
    <w:rsid w:val="1A581A17"/>
    <w:rsid w:val="1AF422EE"/>
    <w:rsid w:val="1B5E24EE"/>
    <w:rsid w:val="1B6F460D"/>
    <w:rsid w:val="1C07390B"/>
    <w:rsid w:val="1C1D2F1A"/>
    <w:rsid w:val="1CB513C7"/>
    <w:rsid w:val="1D44615A"/>
    <w:rsid w:val="1E7234DB"/>
    <w:rsid w:val="1E7C1FC0"/>
    <w:rsid w:val="1F092174"/>
    <w:rsid w:val="1F4F198C"/>
    <w:rsid w:val="1FE070F9"/>
    <w:rsid w:val="20101705"/>
    <w:rsid w:val="210E4069"/>
    <w:rsid w:val="21C326BE"/>
    <w:rsid w:val="21D61CA9"/>
    <w:rsid w:val="22BC11CE"/>
    <w:rsid w:val="22F3657E"/>
    <w:rsid w:val="241C4BD6"/>
    <w:rsid w:val="250B169E"/>
    <w:rsid w:val="252B48C9"/>
    <w:rsid w:val="2550356C"/>
    <w:rsid w:val="2759698F"/>
    <w:rsid w:val="285F4990"/>
    <w:rsid w:val="28F468BA"/>
    <w:rsid w:val="29B52C74"/>
    <w:rsid w:val="2B9507B3"/>
    <w:rsid w:val="2D7D5753"/>
    <w:rsid w:val="2E3932DD"/>
    <w:rsid w:val="2F0B1A6B"/>
    <w:rsid w:val="2F360BEC"/>
    <w:rsid w:val="310531BD"/>
    <w:rsid w:val="3106797D"/>
    <w:rsid w:val="31195BBB"/>
    <w:rsid w:val="31A56717"/>
    <w:rsid w:val="320C50C2"/>
    <w:rsid w:val="320D57E5"/>
    <w:rsid w:val="33111F48"/>
    <w:rsid w:val="342E0A94"/>
    <w:rsid w:val="34B37EEA"/>
    <w:rsid w:val="3537792F"/>
    <w:rsid w:val="354C507E"/>
    <w:rsid w:val="35827995"/>
    <w:rsid w:val="35F176E8"/>
    <w:rsid w:val="36855512"/>
    <w:rsid w:val="38EF0713"/>
    <w:rsid w:val="38F74714"/>
    <w:rsid w:val="3ADA795A"/>
    <w:rsid w:val="3AFC1531"/>
    <w:rsid w:val="3C1F5366"/>
    <w:rsid w:val="3C237AAC"/>
    <w:rsid w:val="3C991305"/>
    <w:rsid w:val="3D103E4E"/>
    <w:rsid w:val="3D3D17F7"/>
    <w:rsid w:val="3DE81907"/>
    <w:rsid w:val="3DFB6DB1"/>
    <w:rsid w:val="40982E91"/>
    <w:rsid w:val="420D65BE"/>
    <w:rsid w:val="42E34B11"/>
    <w:rsid w:val="431D7CAA"/>
    <w:rsid w:val="4444551A"/>
    <w:rsid w:val="445D1DFA"/>
    <w:rsid w:val="44637E35"/>
    <w:rsid w:val="44F82F26"/>
    <w:rsid w:val="460C144D"/>
    <w:rsid w:val="473D5767"/>
    <w:rsid w:val="49E44E91"/>
    <w:rsid w:val="4ADB1B07"/>
    <w:rsid w:val="4AF74537"/>
    <w:rsid w:val="4B04308B"/>
    <w:rsid w:val="4B402FE3"/>
    <w:rsid w:val="4B7B5763"/>
    <w:rsid w:val="4D0056C9"/>
    <w:rsid w:val="4D971BF2"/>
    <w:rsid w:val="4E695BB7"/>
    <w:rsid w:val="4EA95578"/>
    <w:rsid w:val="4EE46EF4"/>
    <w:rsid w:val="518F1414"/>
    <w:rsid w:val="51AA2D47"/>
    <w:rsid w:val="51FF529B"/>
    <w:rsid w:val="52654AA4"/>
    <w:rsid w:val="52F92337"/>
    <w:rsid w:val="531B58A4"/>
    <w:rsid w:val="538D37F7"/>
    <w:rsid w:val="53C2145E"/>
    <w:rsid w:val="546967C7"/>
    <w:rsid w:val="54903F43"/>
    <w:rsid w:val="5492682A"/>
    <w:rsid w:val="56581E7D"/>
    <w:rsid w:val="569B1CCA"/>
    <w:rsid w:val="58062D21"/>
    <w:rsid w:val="590A46FE"/>
    <w:rsid w:val="59AA2EC9"/>
    <w:rsid w:val="5A2C4DBE"/>
    <w:rsid w:val="5AA11F58"/>
    <w:rsid w:val="5ABC486E"/>
    <w:rsid w:val="5BBE0534"/>
    <w:rsid w:val="5BFE55F4"/>
    <w:rsid w:val="5C3634CB"/>
    <w:rsid w:val="5D307260"/>
    <w:rsid w:val="5D6A231B"/>
    <w:rsid w:val="5D762E28"/>
    <w:rsid w:val="5E331DA0"/>
    <w:rsid w:val="5E87715D"/>
    <w:rsid w:val="5E9875F2"/>
    <w:rsid w:val="5EAB7DAC"/>
    <w:rsid w:val="5ED14F25"/>
    <w:rsid w:val="5F500FAA"/>
    <w:rsid w:val="5F902860"/>
    <w:rsid w:val="5FA1629E"/>
    <w:rsid w:val="60022437"/>
    <w:rsid w:val="61493042"/>
    <w:rsid w:val="61FA599D"/>
    <w:rsid w:val="61FE2FC7"/>
    <w:rsid w:val="62AB2C1D"/>
    <w:rsid w:val="6403598C"/>
    <w:rsid w:val="666609E4"/>
    <w:rsid w:val="69A816FA"/>
    <w:rsid w:val="69E83469"/>
    <w:rsid w:val="6ACB4143"/>
    <w:rsid w:val="6B177511"/>
    <w:rsid w:val="6B6A5499"/>
    <w:rsid w:val="6B851262"/>
    <w:rsid w:val="6BCD36D5"/>
    <w:rsid w:val="6CFD2197"/>
    <w:rsid w:val="6E17055A"/>
    <w:rsid w:val="6FC418E8"/>
    <w:rsid w:val="718A3145"/>
    <w:rsid w:val="71CA45C3"/>
    <w:rsid w:val="723B4CA5"/>
    <w:rsid w:val="72613F31"/>
    <w:rsid w:val="72B648F6"/>
    <w:rsid w:val="739550BF"/>
    <w:rsid w:val="73AA0CCC"/>
    <w:rsid w:val="74512C7C"/>
    <w:rsid w:val="74F52B69"/>
    <w:rsid w:val="75122AC5"/>
    <w:rsid w:val="75607431"/>
    <w:rsid w:val="7568118D"/>
    <w:rsid w:val="76633DA7"/>
    <w:rsid w:val="77957322"/>
    <w:rsid w:val="78484E59"/>
    <w:rsid w:val="79116126"/>
    <w:rsid w:val="79585DEB"/>
    <w:rsid w:val="7A8A53BA"/>
    <w:rsid w:val="7AEF7C29"/>
    <w:rsid w:val="7CB3720D"/>
    <w:rsid w:val="7CCB56AE"/>
    <w:rsid w:val="7D226274"/>
    <w:rsid w:val="7D3C3C9F"/>
    <w:rsid w:val="7DB8471B"/>
    <w:rsid w:val="7EE16744"/>
    <w:rsid w:val="7F0C218C"/>
    <w:rsid w:val="7F7B1951"/>
    <w:rsid w:val="7FBF5348"/>
    <w:rsid w:val="7FD21438"/>
    <w:rsid w:val="7FE4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6513</Words>
  <Characters>7239</Characters>
  <Lines>0</Lines>
  <Paragraphs>0</Paragraphs>
  <TotalTime>2</TotalTime>
  <ScaleCrop>false</ScaleCrop>
  <LinksUpToDate>false</LinksUpToDate>
  <CharactersWithSpaces>7374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2021-02-08T03:17:00Z</dcterms:created>
  <dc:creator>刘永岱</dc:creator>
  <cp:lastModifiedBy>Administrator</cp:lastModifiedBy>
  <cp:lastPrinted>2023-09-05T13:52:00Z</cp:lastPrinted>
  <dcterms:modified xsi:type="dcterms:W3CDTF">2023-09-12T02:18:10Z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D7BE4A1406A94EE280BB42F5F296EFD7</vt:lpwstr>
  </property>
</Properties>
</file>