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 xml:space="preserve">附件1-2   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方正小标宋_GBK"/>
          <w:sz w:val="36"/>
          <w:szCs w:val="36"/>
        </w:rPr>
      </w:pPr>
      <w:r>
        <w:rPr>
          <w:rFonts w:hint="eastAsia" w:ascii="宋体" w:hAnsi="宋体" w:eastAsia="方正小标宋_GBK"/>
          <w:sz w:val="36"/>
          <w:szCs w:val="36"/>
          <w:lang w:eastAsia="zh-CN"/>
        </w:rPr>
        <w:t>长沙市岳麓区市容环境卫生管理局</w:t>
      </w:r>
      <w:r>
        <w:rPr>
          <w:rFonts w:hint="eastAsia" w:ascii="宋体" w:hAnsi="宋体" w:eastAsia="方正小标宋_GBK"/>
          <w:sz w:val="36"/>
          <w:szCs w:val="36"/>
          <w:lang w:val="en-US" w:eastAsia="zh-CN"/>
        </w:rPr>
        <w:t>2016</w:t>
      </w:r>
      <w:r>
        <w:rPr>
          <w:rFonts w:hint="eastAsia" w:ascii="宋体" w:hAnsi="宋体" w:eastAsia="方正小标宋_GBK"/>
          <w:sz w:val="36"/>
          <w:szCs w:val="36"/>
        </w:rPr>
        <w:t>年部门决算说明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widowControl/>
        <w:spacing w:line="560" w:lineRule="exact"/>
        <w:ind w:firstLine="660"/>
        <w:jc w:val="lef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一、部门主要职责</w:t>
      </w:r>
    </w:p>
    <w:p>
      <w:pPr>
        <w:spacing w:line="560" w:lineRule="exact"/>
        <w:ind w:left="181" w:leftChars="86"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长沙市岳麓区市容环境卫生管理局主要负责城市环境卫生设施建设、城市环境卫生设施运营与维护、城市环境卫生监督、城市环境卫生作业管理等，具体承担岳麓城区40余条主次干道市容环境卫生维护，91座公共厕所、140座垃圾站（含34个收集点）、2座人行天桥、25座地下通道的清扫和卫生管理，73万㎡绿化带保洁、10753根电线杆清洗、675块路名牌清洗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hint="eastAsia" w:ascii="宋体" w:hAnsi="宋体" w:eastAsia="仿宋_GB2312"/>
          <w:sz w:val="32"/>
          <w:szCs w:val="32"/>
        </w:rPr>
        <w:t>全区每天1300吨生活垃圾的日产日清以及全区环卫设施维护等业务工作，并负责对辖区内基建工地和渣土运输车辆进行监管。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二、部门人员情况及决算单位构成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长沙市岳麓区市容环境卫生管理局为财政</w:t>
      </w:r>
      <w:r>
        <w:rPr>
          <w:rFonts w:hint="eastAsia" w:ascii="宋体" w:hAnsi="宋体" w:eastAsia="仿宋_GB2312"/>
          <w:sz w:val="32"/>
          <w:szCs w:val="32"/>
          <w:lang w:eastAsia="zh-CN"/>
        </w:rPr>
        <w:t>差额</w:t>
      </w:r>
      <w:r>
        <w:rPr>
          <w:rFonts w:hint="eastAsia" w:ascii="宋体" w:hAnsi="宋体" w:eastAsia="仿宋_GB2312"/>
          <w:sz w:val="32"/>
          <w:szCs w:val="32"/>
        </w:rPr>
        <w:t>拨款的</w:t>
      </w:r>
      <w:r>
        <w:rPr>
          <w:rFonts w:hint="eastAsia" w:ascii="宋体" w:hAnsi="宋体" w:eastAsia="仿宋_GB2312"/>
          <w:sz w:val="32"/>
          <w:szCs w:val="32"/>
          <w:lang w:eastAsia="zh-CN"/>
        </w:rPr>
        <w:t>事业</w:t>
      </w:r>
      <w:r>
        <w:rPr>
          <w:rFonts w:hint="eastAsia" w:ascii="宋体" w:hAnsi="宋体" w:eastAsia="仿宋_GB2312"/>
          <w:sz w:val="32"/>
          <w:szCs w:val="32"/>
        </w:rPr>
        <w:t>单位，现有编制人数253人，目前实有在职人员95人，</w:t>
      </w:r>
      <w:r>
        <w:rPr>
          <w:rFonts w:hint="eastAsia" w:ascii="宋体" w:hAnsi="宋体" w:eastAsia="仿宋_GB2312"/>
          <w:sz w:val="32"/>
          <w:szCs w:val="32"/>
          <w:lang w:eastAsia="zh-CN"/>
        </w:rPr>
        <w:t>分流街道在职人员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65人，</w:t>
      </w:r>
      <w:r>
        <w:rPr>
          <w:rFonts w:hint="eastAsia" w:ascii="宋体" w:hAnsi="宋体" w:eastAsia="仿宋_GB2312"/>
          <w:sz w:val="32"/>
          <w:szCs w:val="32"/>
        </w:rPr>
        <w:t>离退休人员142人，政府雇员1人，临聘人员770人。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201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/>
          <w:sz w:val="32"/>
          <w:szCs w:val="32"/>
        </w:rPr>
        <w:t>年部门</w:t>
      </w:r>
      <w:r>
        <w:rPr>
          <w:rFonts w:hint="eastAsia" w:ascii="宋体" w:hAnsi="宋体" w:eastAsia="仿宋_GB2312"/>
          <w:sz w:val="32"/>
          <w:szCs w:val="32"/>
          <w:lang w:eastAsia="zh-CN"/>
        </w:rPr>
        <w:t>决算</w:t>
      </w:r>
      <w:r>
        <w:rPr>
          <w:rFonts w:hint="eastAsia" w:ascii="宋体" w:hAnsi="宋体" w:eastAsia="仿宋_GB2312"/>
          <w:sz w:val="32"/>
          <w:szCs w:val="32"/>
        </w:rPr>
        <w:t>编报范围包括局机关，其中：</w:t>
      </w:r>
      <w:r>
        <w:rPr>
          <w:rFonts w:hint="eastAsia" w:ascii="仿宋_GB2312" w:eastAsia="仿宋_GB2312"/>
          <w:sz w:val="32"/>
          <w:szCs w:val="32"/>
        </w:rPr>
        <w:t xml:space="preserve">内设机构   </w:t>
      </w:r>
      <w:r>
        <w:rPr>
          <w:rFonts w:hint="eastAsia"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个，分别是办公室、财务科、基建科、督查科、政工科（工会）、安技科、汽车队、渣土办、南片维护所、北片维护所。无附属二级机构和事业单位。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三、部门收支决算总体情况</w:t>
      </w:r>
    </w:p>
    <w:p>
      <w:pPr>
        <w:widowControl/>
        <w:spacing w:line="560" w:lineRule="exact"/>
        <w:ind w:firstLine="627" w:firstLineChars="196"/>
        <w:jc w:val="lef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年收入总计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11031.29</w:t>
      </w:r>
      <w:r>
        <w:rPr>
          <w:rFonts w:hint="eastAsia" w:ascii="宋体" w:hAnsi="宋体" w:eastAsia="仿宋_GB2312"/>
          <w:sz w:val="32"/>
          <w:szCs w:val="32"/>
        </w:rPr>
        <w:t>万元，上年结转和结余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2154.63</w:t>
      </w:r>
      <w:r>
        <w:rPr>
          <w:rFonts w:hint="eastAsia" w:ascii="宋体" w:hAnsi="宋体" w:eastAsia="仿宋_GB2312"/>
          <w:sz w:val="32"/>
          <w:szCs w:val="32"/>
        </w:rPr>
        <w:t>万元，支出总计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12079.02</w:t>
      </w:r>
      <w:r>
        <w:rPr>
          <w:rFonts w:hint="eastAsia" w:ascii="宋体" w:hAnsi="宋体" w:eastAsia="仿宋_GB2312"/>
          <w:sz w:val="32"/>
          <w:szCs w:val="32"/>
        </w:rPr>
        <w:t>万元，年末结转和结余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1106.9</w:t>
      </w:r>
      <w:r>
        <w:rPr>
          <w:rFonts w:hint="eastAsia" w:ascii="宋体" w:hAnsi="宋体" w:eastAsia="仿宋_GB2312"/>
          <w:sz w:val="32"/>
          <w:szCs w:val="32"/>
        </w:rPr>
        <w:t xml:space="preserve">万元，具体情况如下：   </w:t>
      </w:r>
    </w:p>
    <w:p>
      <w:pPr>
        <w:widowControl/>
        <w:spacing w:line="560" w:lineRule="exact"/>
        <w:ind w:firstLine="480" w:firstLineChars="150"/>
        <w:jc w:val="left"/>
        <w:rPr>
          <w:rFonts w:ascii="宋体" w:hAnsi="宋体" w:eastAsia="黑体"/>
          <w:bCs/>
          <w:kern w:val="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（一）收入决算，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年收入总计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11031.29</w:t>
      </w:r>
      <w:r>
        <w:rPr>
          <w:rFonts w:hint="eastAsia" w:ascii="宋体" w:hAnsi="宋体" w:eastAsia="仿宋_GB2312"/>
          <w:sz w:val="32"/>
          <w:szCs w:val="32"/>
        </w:rPr>
        <w:t>万元，较上年增加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1175.91</w:t>
      </w:r>
      <w:r>
        <w:rPr>
          <w:rFonts w:hint="eastAsia" w:ascii="宋体" w:hAnsi="宋体" w:eastAsia="仿宋_GB2312"/>
          <w:sz w:val="32"/>
          <w:szCs w:val="32"/>
        </w:rPr>
        <w:t>万元。其中，财政拨款收入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11031.29</w:t>
      </w:r>
      <w:r>
        <w:rPr>
          <w:rFonts w:hint="eastAsia" w:ascii="宋体" w:hAnsi="宋体" w:eastAsia="仿宋_GB2312"/>
          <w:sz w:val="32"/>
          <w:szCs w:val="32"/>
        </w:rPr>
        <w:t>万元，较上年增加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1175.91</w:t>
      </w:r>
      <w:r>
        <w:rPr>
          <w:rFonts w:hint="eastAsia" w:ascii="宋体" w:hAnsi="宋体" w:eastAsia="仿宋_GB2312"/>
          <w:sz w:val="32"/>
          <w:szCs w:val="32"/>
        </w:rPr>
        <w:t>万元。</w:t>
      </w:r>
    </w:p>
    <w:p>
      <w:pPr>
        <w:spacing w:line="56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（二）支出决算，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年支出总计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12079.02</w:t>
      </w:r>
      <w:r>
        <w:rPr>
          <w:rFonts w:hint="eastAsia" w:ascii="宋体" w:hAnsi="宋体" w:eastAsia="仿宋_GB2312"/>
          <w:sz w:val="32"/>
          <w:szCs w:val="32"/>
        </w:rPr>
        <w:t>万元，较上年增加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2278.29</w:t>
      </w:r>
      <w:r>
        <w:rPr>
          <w:rFonts w:hint="eastAsia" w:ascii="宋体" w:hAnsi="宋体" w:eastAsia="仿宋_GB2312"/>
          <w:sz w:val="32"/>
          <w:szCs w:val="32"/>
        </w:rPr>
        <w:t>万元。其中，</w:t>
      </w:r>
      <w:r>
        <w:rPr>
          <w:rFonts w:ascii="宋体" w:hAnsi="宋体" w:eastAsia="仿宋_GB2312"/>
          <w:sz w:val="32"/>
          <w:szCs w:val="32"/>
        </w:rPr>
        <w:t>一般公共服务</w:t>
      </w:r>
      <w:r>
        <w:rPr>
          <w:rFonts w:hint="eastAsia" w:ascii="宋体" w:hAnsi="宋体" w:eastAsia="仿宋_GB2312"/>
          <w:sz w:val="32"/>
          <w:szCs w:val="32"/>
        </w:rPr>
        <w:t>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10</w:t>
      </w:r>
      <w:r>
        <w:rPr>
          <w:rFonts w:ascii="宋体" w:hAnsi="宋体" w:eastAsia="仿宋_GB2312"/>
          <w:sz w:val="32"/>
          <w:szCs w:val="32"/>
        </w:rPr>
        <w:t>万元，</w:t>
      </w:r>
      <w:r>
        <w:rPr>
          <w:rFonts w:hint="eastAsia" w:ascii="宋体" w:hAnsi="宋体" w:eastAsia="仿宋_GB2312"/>
          <w:sz w:val="32"/>
          <w:szCs w:val="32"/>
        </w:rPr>
        <w:t>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</w:rPr>
        <w:t>万元；社会保障和就业支出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829.98</w:t>
      </w:r>
      <w:r>
        <w:rPr>
          <w:rFonts w:ascii="宋体" w:hAnsi="宋体" w:eastAsia="仿宋_GB2312"/>
          <w:sz w:val="32"/>
          <w:szCs w:val="32"/>
        </w:rPr>
        <w:t>万元，</w:t>
      </w:r>
      <w:r>
        <w:rPr>
          <w:rFonts w:hint="eastAsia" w:ascii="宋体" w:hAnsi="宋体" w:eastAsia="仿宋_GB2312"/>
          <w:sz w:val="32"/>
          <w:szCs w:val="32"/>
        </w:rPr>
        <w:t>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53.84</w:t>
      </w:r>
      <w:r>
        <w:rPr>
          <w:rFonts w:hint="eastAsia" w:ascii="宋体" w:hAnsi="宋体" w:eastAsia="仿宋_GB2312"/>
          <w:sz w:val="32"/>
          <w:szCs w:val="32"/>
        </w:rPr>
        <w:t>万元；医疗卫生与计划生育支出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2054.42</w:t>
      </w:r>
      <w:r>
        <w:rPr>
          <w:rFonts w:hint="eastAsia" w:ascii="宋体" w:hAnsi="宋体" w:eastAsia="仿宋_GB2312"/>
          <w:sz w:val="32"/>
          <w:szCs w:val="32"/>
        </w:rPr>
        <w:t>万元，较上年增加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1941.01</w:t>
      </w:r>
      <w:r>
        <w:rPr>
          <w:rFonts w:hint="eastAsia" w:ascii="宋体" w:hAnsi="宋体" w:eastAsia="仿宋_GB2312"/>
          <w:sz w:val="32"/>
          <w:szCs w:val="32"/>
        </w:rPr>
        <w:t>万元；</w:t>
      </w:r>
      <w:r>
        <w:rPr>
          <w:rFonts w:hint="eastAsia" w:ascii="宋体" w:hAnsi="宋体" w:eastAsia="仿宋_GB2312"/>
          <w:sz w:val="32"/>
          <w:szCs w:val="32"/>
          <w:lang w:eastAsia="zh-CN"/>
        </w:rPr>
        <w:t>城乡社区支出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9067.2万元，</w:t>
      </w:r>
      <w:r>
        <w:rPr>
          <w:rFonts w:hint="eastAsia" w:ascii="宋体" w:hAnsi="宋体" w:eastAsia="仿宋_GB2312"/>
          <w:sz w:val="32"/>
          <w:szCs w:val="32"/>
        </w:rPr>
        <w:t>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249.42</w:t>
      </w:r>
      <w:r>
        <w:rPr>
          <w:rFonts w:hint="eastAsia" w:ascii="宋体" w:hAnsi="宋体" w:eastAsia="仿宋_GB2312"/>
          <w:sz w:val="32"/>
          <w:szCs w:val="32"/>
        </w:rPr>
        <w:t>万元；</w:t>
      </w:r>
      <w:r>
        <w:rPr>
          <w:rFonts w:hint="eastAsia" w:ascii="宋体" w:hAnsi="宋体" w:eastAsia="仿宋_GB2312"/>
          <w:sz w:val="32"/>
          <w:szCs w:val="32"/>
          <w:lang w:eastAsia="zh-CN"/>
        </w:rPr>
        <w:t>住房保障支出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117.42万元</w:t>
      </w:r>
      <w:r>
        <w:rPr>
          <w:rFonts w:hint="eastAsia" w:ascii="宋体" w:hAnsi="宋体" w:eastAsia="仿宋_GB2312"/>
          <w:sz w:val="32"/>
          <w:szCs w:val="32"/>
        </w:rPr>
        <w:t>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29.02</w:t>
      </w:r>
      <w:r>
        <w:rPr>
          <w:rFonts w:hint="eastAsia" w:ascii="宋体" w:hAnsi="宋体" w:eastAsia="仿宋_GB2312"/>
          <w:sz w:val="32"/>
          <w:szCs w:val="32"/>
        </w:rPr>
        <w:t>万元</w:t>
      </w:r>
      <w:r>
        <w:rPr>
          <w:rFonts w:ascii="宋体" w:hAnsi="宋体" w:eastAsia="仿宋_GB2312"/>
          <w:sz w:val="32"/>
          <w:szCs w:val="32"/>
        </w:rPr>
        <w:t>。</w:t>
      </w:r>
      <w:r>
        <w:rPr>
          <w:rFonts w:hint="eastAsia" w:ascii="宋体" w:hAnsi="宋体" w:eastAsia="仿宋_GB2312"/>
          <w:sz w:val="32"/>
          <w:szCs w:val="32"/>
        </w:rPr>
        <w:t>具体情况如下：</w:t>
      </w:r>
    </w:p>
    <w:p>
      <w:pPr>
        <w:widowControl/>
        <w:spacing w:line="560" w:lineRule="exact"/>
        <w:ind w:firstLine="480" w:firstLineChars="150"/>
        <w:jc w:val="lef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1．</w:t>
      </w:r>
      <w:r>
        <w:rPr>
          <w:rFonts w:ascii="宋体" w:hAnsi="宋体" w:eastAsia="仿宋_GB2312"/>
          <w:sz w:val="32"/>
          <w:szCs w:val="32"/>
        </w:rPr>
        <w:t>基本支出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12020.56</w:t>
      </w:r>
      <w:r>
        <w:rPr>
          <w:rFonts w:hint="eastAsia" w:ascii="宋体" w:hAnsi="宋体" w:eastAsia="仿宋_GB2312"/>
          <w:sz w:val="32"/>
          <w:szCs w:val="32"/>
        </w:rPr>
        <w:t>万元</w:t>
      </w:r>
      <w:r>
        <w:rPr>
          <w:rFonts w:ascii="宋体" w:hAnsi="宋体" w:eastAsia="仿宋_GB2312"/>
          <w:sz w:val="32"/>
          <w:szCs w:val="32"/>
        </w:rPr>
        <w:t>，</w:t>
      </w:r>
      <w:r>
        <w:rPr>
          <w:rFonts w:hint="eastAsia" w:ascii="宋体" w:hAnsi="宋体" w:eastAsia="仿宋_GB2312"/>
          <w:sz w:val="32"/>
          <w:szCs w:val="32"/>
        </w:rPr>
        <w:t>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2229.83</w:t>
      </w:r>
      <w:r>
        <w:rPr>
          <w:rFonts w:hint="eastAsia" w:ascii="宋体" w:hAnsi="宋体" w:eastAsia="仿宋_GB2312"/>
          <w:sz w:val="32"/>
          <w:szCs w:val="32"/>
        </w:rPr>
        <w:t>万元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，主要用于临聘人员以前年度社保断档补缴。</w:t>
      </w:r>
      <w:r>
        <w:rPr>
          <w:rFonts w:hint="eastAsia" w:ascii="宋体" w:hAnsi="宋体" w:eastAsia="仿宋_GB2312"/>
          <w:sz w:val="32"/>
          <w:szCs w:val="32"/>
        </w:rPr>
        <w:t>系</w:t>
      </w:r>
      <w:r>
        <w:rPr>
          <w:rFonts w:ascii="宋体" w:hAnsi="宋体" w:eastAsia="仿宋_GB2312"/>
          <w:sz w:val="32"/>
          <w:szCs w:val="32"/>
        </w:rPr>
        <w:t>为保障单位机构正常运转、完成日常工作任务而发生的各项支出，</w:t>
      </w:r>
      <w:r>
        <w:rPr>
          <w:rFonts w:hint="eastAsia" w:ascii="宋体" w:hAnsi="宋体" w:eastAsia="仿宋_GB2312"/>
          <w:sz w:val="32"/>
          <w:szCs w:val="32"/>
        </w:rPr>
        <w:t>主要</w:t>
      </w:r>
      <w:r>
        <w:rPr>
          <w:rFonts w:ascii="宋体" w:hAnsi="宋体" w:eastAsia="仿宋_GB2312"/>
          <w:sz w:val="32"/>
          <w:szCs w:val="32"/>
        </w:rPr>
        <w:t>包括基本工资、津贴补贴等人员经费以及办公费、印刷费、水电费、办公设备购置等日常公用经费。</w:t>
      </w:r>
    </w:p>
    <w:p>
      <w:pPr>
        <w:widowControl/>
        <w:spacing w:line="560" w:lineRule="exact"/>
        <w:ind w:firstLine="480" w:firstLineChars="150"/>
        <w:jc w:val="lef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2．</w:t>
      </w:r>
      <w:r>
        <w:rPr>
          <w:rFonts w:ascii="宋体" w:hAnsi="宋体" w:eastAsia="仿宋_GB2312"/>
          <w:sz w:val="32"/>
          <w:szCs w:val="32"/>
        </w:rPr>
        <w:t>项目支出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58.46</w:t>
      </w:r>
      <w:r>
        <w:rPr>
          <w:rFonts w:ascii="宋体" w:hAnsi="宋体" w:eastAsia="仿宋_GB2312"/>
          <w:sz w:val="32"/>
          <w:szCs w:val="32"/>
        </w:rPr>
        <w:t>万元，</w:t>
      </w:r>
      <w:r>
        <w:rPr>
          <w:rFonts w:hint="eastAsia" w:ascii="宋体" w:hAnsi="宋体" w:eastAsia="仿宋_GB2312"/>
          <w:sz w:val="32"/>
          <w:szCs w:val="32"/>
        </w:rPr>
        <w:t>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48.46</w:t>
      </w:r>
      <w:r>
        <w:rPr>
          <w:rFonts w:hint="eastAsia" w:ascii="宋体" w:hAnsi="宋体" w:eastAsia="仿宋_GB2312"/>
          <w:sz w:val="32"/>
          <w:szCs w:val="32"/>
        </w:rPr>
        <w:t>万元。系单位为完成特定行政工作任务或事业发展目标而发生的支出，包括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2015年城管品质工程环卫类项目工程及设备款</w:t>
      </w:r>
      <w:r>
        <w:rPr>
          <w:rFonts w:hint="eastAsia" w:ascii="宋体" w:hAnsi="宋体" w:eastAsia="仿宋_GB2312"/>
          <w:sz w:val="32"/>
          <w:szCs w:val="32"/>
        </w:rPr>
        <w:t>经费</w:t>
      </w:r>
      <w:r>
        <w:rPr>
          <w:rFonts w:hint="eastAsia" w:ascii="宋体" w:hAnsi="宋体" w:eastAsia="仿宋_GB2312"/>
          <w:sz w:val="32"/>
          <w:szCs w:val="32"/>
          <w:lang w:eastAsia="zh-CN"/>
        </w:rPr>
        <w:t>和环卫工人节慰问经费</w:t>
      </w:r>
      <w:r>
        <w:rPr>
          <w:rFonts w:hint="eastAsia" w:ascii="宋体" w:hAnsi="宋体" w:eastAsia="仿宋_GB2312"/>
          <w:sz w:val="32"/>
          <w:szCs w:val="32"/>
        </w:rPr>
        <w:t>，主要用于</w:t>
      </w:r>
      <w:r>
        <w:rPr>
          <w:rFonts w:hint="eastAsia" w:ascii="宋体" w:hAnsi="宋体" w:eastAsia="仿宋_GB2312"/>
          <w:sz w:val="32"/>
          <w:szCs w:val="32"/>
          <w:lang w:eastAsia="zh-CN"/>
        </w:rPr>
        <w:t>新建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5座环卫工班房和临聘人员环卫节慰问</w:t>
      </w:r>
      <w:r>
        <w:rPr>
          <w:rFonts w:hint="eastAsia" w:ascii="宋体" w:hAnsi="宋体" w:eastAsia="仿宋_GB2312"/>
          <w:sz w:val="32"/>
          <w:szCs w:val="32"/>
        </w:rPr>
        <w:t>等方面。</w:t>
      </w:r>
    </w:p>
    <w:p>
      <w:pPr>
        <w:widowControl/>
        <w:spacing w:line="560" w:lineRule="exact"/>
        <w:ind w:firstLine="660"/>
        <w:jc w:val="lef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四、年度一般公共预算财政拨款支出情况</w:t>
      </w:r>
    </w:p>
    <w:p>
      <w:pPr>
        <w:spacing w:line="560" w:lineRule="exact"/>
        <w:ind w:firstLine="470" w:firstLineChars="19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　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年一般公共预算财政拨款支出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12079.02</w:t>
      </w:r>
      <w:r>
        <w:rPr>
          <w:rFonts w:hint="eastAsia" w:ascii="宋体" w:hAnsi="宋体" w:eastAsia="仿宋_GB2312"/>
          <w:sz w:val="32"/>
          <w:szCs w:val="32"/>
        </w:rPr>
        <w:t>万元，较上年增加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2278.29</w:t>
      </w:r>
      <w:r>
        <w:rPr>
          <w:rFonts w:hint="eastAsia" w:ascii="宋体" w:hAnsi="宋体" w:eastAsia="仿宋_GB2312"/>
          <w:sz w:val="32"/>
          <w:szCs w:val="32"/>
        </w:rPr>
        <w:t>万元。其中①基本支出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12020.56</w:t>
      </w:r>
      <w:r>
        <w:rPr>
          <w:rFonts w:hint="eastAsia" w:ascii="宋体" w:hAnsi="宋体" w:eastAsia="仿宋_GB2312"/>
          <w:sz w:val="32"/>
          <w:szCs w:val="32"/>
        </w:rPr>
        <w:t>万元，较上年增加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2229.83</w:t>
      </w:r>
      <w:r>
        <w:rPr>
          <w:rFonts w:hint="eastAsia" w:ascii="宋体" w:hAnsi="宋体" w:eastAsia="仿宋_GB2312"/>
          <w:sz w:val="32"/>
          <w:szCs w:val="32"/>
        </w:rPr>
        <w:t xml:space="preserve">万元；②项目支出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58.46</w:t>
      </w:r>
      <w:r>
        <w:rPr>
          <w:rFonts w:hint="eastAsia" w:ascii="宋体" w:hAnsi="宋体" w:eastAsia="仿宋_GB2312"/>
          <w:sz w:val="32"/>
          <w:szCs w:val="32"/>
        </w:rPr>
        <w:t>万元，较上年增加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48.46</w:t>
      </w:r>
      <w:r>
        <w:rPr>
          <w:rFonts w:hint="eastAsia" w:ascii="宋体" w:hAnsi="宋体" w:eastAsia="仿宋_GB2312"/>
          <w:sz w:val="32"/>
          <w:szCs w:val="32"/>
        </w:rPr>
        <w:t>万元。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五、年度政府性基金预算财政拨款支出情况</w:t>
      </w:r>
    </w:p>
    <w:p>
      <w:pPr>
        <w:spacing w:line="560" w:lineRule="exact"/>
        <w:ind w:firstLine="627" w:firstLineChars="196"/>
        <w:rPr>
          <w:rFonts w:ascii="宋体" w:hAnsi="宋体" w:cs="宋体"/>
          <w:sz w:val="24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年政府性基金预算财政拨款支出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，较上年无变化。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六、其他重要事项的情况说明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（一）机关运行经费支出情况。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</w:t>
      </w:r>
      <w:r>
        <w:rPr>
          <w:rFonts w:hint="eastAsia" w:ascii="宋体" w:hAnsi="宋体" w:eastAsia="仿宋_GB2312"/>
          <w:sz w:val="32"/>
          <w:szCs w:val="32"/>
          <w:lang w:eastAsia="zh-CN"/>
        </w:rPr>
        <w:t>长沙市岳麓区市容环境卫生管理</w:t>
      </w:r>
      <w:r>
        <w:rPr>
          <w:rFonts w:hint="eastAsia" w:ascii="宋体" w:hAnsi="宋体" w:eastAsia="仿宋_GB2312"/>
          <w:sz w:val="32"/>
          <w:szCs w:val="32"/>
        </w:rPr>
        <w:t>局机关运行经费支出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88.43</w:t>
      </w:r>
      <w:r>
        <w:rPr>
          <w:rFonts w:hint="eastAsia" w:ascii="宋体" w:hAnsi="宋体" w:eastAsia="仿宋_GB2312"/>
          <w:sz w:val="32"/>
          <w:szCs w:val="32"/>
        </w:rPr>
        <w:t>万元，较上年减少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15.21</w:t>
      </w:r>
      <w:r>
        <w:rPr>
          <w:rFonts w:hint="eastAsia" w:ascii="宋体" w:hAnsi="宋体" w:eastAsia="仿宋_GB2312"/>
          <w:sz w:val="32"/>
          <w:szCs w:val="32"/>
        </w:rPr>
        <w:t>万元。是指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  <w:r>
        <w:rPr>
          <w:rFonts w:ascii="宋体" w:hAnsi="宋体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宋体" w:hAnsi="宋体" w:cs="宋体"/>
          <w:sz w:val="24"/>
        </w:rPr>
      </w:pPr>
      <w:r>
        <w:rPr>
          <w:rFonts w:hint="eastAsia" w:ascii="宋体" w:hAnsi="宋体" w:eastAsia="仿宋_GB2312"/>
          <w:sz w:val="32"/>
          <w:szCs w:val="32"/>
        </w:rPr>
        <w:t>（二）“三公”经费支出情况。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</w:t>
      </w:r>
      <w:r>
        <w:rPr>
          <w:rFonts w:ascii="宋体" w:hAnsi="宋体" w:eastAsia="仿宋_GB2312"/>
          <w:sz w:val="32"/>
          <w:szCs w:val="32"/>
        </w:rPr>
        <w:t>“</w:t>
      </w:r>
      <w:r>
        <w:rPr>
          <w:rFonts w:hint="eastAsia" w:ascii="宋体" w:hAnsi="宋体" w:eastAsia="仿宋_GB2312"/>
          <w:sz w:val="32"/>
          <w:szCs w:val="32"/>
        </w:rPr>
        <w:t>三公</w:t>
      </w:r>
      <w:r>
        <w:rPr>
          <w:rFonts w:ascii="宋体" w:hAnsi="宋体" w:eastAsia="仿宋_GB2312"/>
          <w:sz w:val="32"/>
          <w:szCs w:val="32"/>
        </w:rPr>
        <w:t>”</w:t>
      </w:r>
      <w:r>
        <w:rPr>
          <w:rFonts w:hint="eastAsia" w:ascii="宋体" w:hAnsi="宋体" w:eastAsia="仿宋_GB2312"/>
          <w:sz w:val="32"/>
          <w:szCs w:val="32"/>
        </w:rPr>
        <w:t xml:space="preserve">经费支出合计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9.05</w:t>
      </w:r>
      <w:r>
        <w:rPr>
          <w:rFonts w:hint="eastAsia" w:ascii="宋体" w:hAnsi="宋体" w:eastAsia="仿宋_GB2312"/>
          <w:sz w:val="32"/>
          <w:szCs w:val="32"/>
        </w:rPr>
        <w:t>万元，比预算减少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32.37</w:t>
      </w:r>
      <w:r>
        <w:rPr>
          <w:rFonts w:hint="eastAsia" w:ascii="宋体" w:hAnsi="宋体" w:eastAsia="仿宋_GB2312"/>
          <w:sz w:val="32"/>
          <w:szCs w:val="32"/>
        </w:rPr>
        <w:t>万元，降低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78.15</w:t>
      </w:r>
      <w:r>
        <w:rPr>
          <w:rFonts w:ascii="宋体" w:hAnsi="宋体" w:eastAsia="仿宋_GB2312"/>
          <w:sz w:val="32"/>
          <w:szCs w:val="32"/>
        </w:rPr>
        <w:t>%</w:t>
      </w:r>
      <w:r>
        <w:rPr>
          <w:rFonts w:hint="eastAsia" w:ascii="宋体" w:hAnsi="宋体" w:eastAsia="仿宋_GB2312"/>
          <w:sz w:val="32"/>
          <w:szCs w:val="32"/>
        </w:rPr>
        <w:t>。分项为：</w:t>
      </w:r>
    </w:p>
    <w:p>
      <w:pPr>
        <w:spacing w:line="560" w:lineRule="exact"/>
        <w:ind w:firstLine="48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cs="宋体"/>
          <w:sz w:val="24"/>
        </w:rPr>
        <w:t>　</w:t>
      </w:r>
      <w:r>
        <w:rPr>
          <w:rFonts w:hint="eastAsia" w:ascii="宋体" w:hAnsi="宋体" w:eastAsia="仿宋_GB2312"/>
          <w:sz w:val="32"/>
          <w:szCs w:val="32"/>
        </w:rPr>
        <w:t>因公出国（境）费支出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万元，公务接待费支出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万元，比预算减少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仿宋_GB2312"/>
          <w:sz w:val="32"/>
          <w:szCs w:val="32"/>
        </w:rPr>
        <w:t xml:space="preserve">万元，降低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100</w:t>
      </w:r>
      <w:r>
        <w:rPr>
          <w:rFonts w:hint="eastAsia" w:ascii="宋体" w:hAnsi="宋体" w:eastAsia="仿宋_GB2312"/>
          <w:sz w:val="32"/>
          <w:szCs w:val="32"/>
        </w:rPr>
        <w:t xml:space="preserve"> </w:t>
      </w:r>
      <w:r>
        <w:rPr>
          <w:rFonts w:ascii="宋体" w:hAnsi="宋体" w:eastAsia="仿宋_GB2312"/>
          <w:sz w:val="32"/>
          <w:szCs w:val="32"/>
        </w:rPr>
        <w:t>%</w:t>
      </w:r>
      <w:r>
        <w:rPr>
          <w:rFonts w:hint="eastAsia" w:ascii="宋体" w:hAnsi="宋体" w:eastAsia="仿宋_GB2312"/>
          <w:sz w:val="32"/>
          <w:szCs w:val="32"/>
        </w:rPr>
        <w:t>，支出减少的主要原因为认真贯彻落实“八项”规定要求，实行预算控制制度，严格控制公务接待数量、规模、接待标准等。公务用车购置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仿宋_GB2312"/>
          <w:sz w:val="32"/>
          <w:szCs w:val="32"/>
        </w:rPr>
        <w:t>万元，公务用车运行经费支出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9.05</w:t>
      </w:r>
      <w:r>
        <w:rPr>
          <w:rFonts w:hint="eastAsia" w:ascii="宋体" w:hAnsi="宋体" w:eastAsia="仿宋_GB2312"/>
          <w:sz w:val="32"/>
          <w:szCs w:val="32"/>
        </w:rPr>
        <w:t>万元，比预算减少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13.37</w:t>
      </w:r>
      <w:r>
        <w:rPr>
          <w:rFonts w:hint="eastAsia" w:ascii="宋体" w:hAnsi="宋体" w:eastAsia="仿宋_GB2312"/>
          <w:sz w:val="32"/>
          <w:szCs w:val="32"/>
        </w:rPr>
        <w:t>万元，降低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59.63</w:t>
      </w:r>
      <w:r>
        <w:rPr>
          <w:rFonts w:hint="eastAsia" w:ascii="宋体" w:hAnsi="宋体" w:eastAsia="仿宋_GB2312"/>
          <w:sz w:val="32"/>
          <w:szCs w:val="32"/>
        </w:rPr>
        <w:t>％，支出减少的主要原因为：一是考虑到公务用车制度改革，未购置新车辆；二是加强公务用车管理，严格执行定点加油、定点维修、定点保险等，运行维护费支出大幅减少。</w:t>
      </w:r>
    </w:p>
    <w:p>
      <w:pPr>
        <w:spacing w:line="56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（三）政府采购支出情况。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宋体" w:hAnsi="宋体" w:eastAsia="仿宋_GB2312"/>
          <w:sz w:val="32"/>
          <w:szCs w:val="32"/>
        </w:rPr>
        <w:t>年</w:t>
      </w:r>
      <w:r>
        <w:rPr>
          <w:rFonts w:hint="eastAsia" w:ascii="宋体" w:hAnsi="宋体" w:eastAsia="仿宋_GB2312"/>
          <w:sz w:val="32"/>
          <w:szCs w:val="32"/>
          <w:lang w:eastAsia="zh-CN"/>
        </w:rPr>
        <w:t>长沙市岳麓区市容环境卫生管理</w:t>
      </w:r>
      <w:r>
        <w:rPr>
          <w:rFonts w:hint="eastAsia" w:ascii="宋体" w:hAnsi="宋体" w:eastAsia="仿宋_GB2312"/>
          <w:sz w:val="32"/>
          <w:szCs w:val="32"/>
        </w:rPr>
        <w:t xml:space="preserve">局政府采购支出总额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2225.46</w:t>
      </w:r>
      <w:r>
        <w:rPr>
          <w:rFonts w:hint="eastAsia" w:ascii="宋体" w:hAnsi="宋体" w:eastAsia="仿宋_GB2312"/>
          <w:sz w:val="32"/>
          <w:szCs w:val="32"/>
        </w:rPr>
        <w:t>万元，其中：政府采购货物支出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2225.46</w:t>
      </w:r>
      <w:r>
        <w:rPr>
          <w:rFonts w:hint="eastAsia" w:ascii="宋体" w:hAnsi="宋体" w:eastAsia="仿宋_GB2312"/>
          <w:sz w:val="32"/>
          <w:szCs w:val="32"/>
        </w:rPr>
        <w:t>万元。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七、名词解释</w:t>
      </w:r>
    </w:p>
    <w:p>
      <w:pPr>
        <w:spacing w:line="560" w:lineRule="exact"/>
        <w:ind w:firstLine="480" w:firstLineChars="15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“三公”经费：纳入区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spacing w:line="560" w:lineRule="exact"/>
        <w:ind w:firstLine="480" w:firstLineChars="150"/>
        <w:rPr>
          <w:rFonts w:ascii="宋体" w:hAnsi="宋体" w:eastAsia="仿宋_GB2312"/>
          <w:sz w:val="32"/>
          <w:szCs w:val="32"/>
        </w:rPr>
      </w:pPr>
      <w:bookmarkStart w:id="0" w:name="_GoBack"/>
      <w:bookmarkEnd w:id="0"/>
      <w:r>
        <w:rPr>
          <w:rFonts w:ascii="宋体" w:hAnsi="宋体" w:eastAsia="仿宋_GB2312"/>
          <w:sz w:val="32"/>
          <w:szCs w:val="32"/>
        </w:rPr>
        <w:t> </w:t>
      </w:r>
    </w:p>
    <w:p>
      <w:pPr>
        <w:spacing w:line="560" w:lineRule="exact"/>
        <w:ind w:firstLine="4960" w:firstLineChars="1550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岳麓区环卫局</w:t>
      </w:r>
    </w:p>
    <w:p>
      <w:pPr>
        <w:spacing w:line="560" w:lineRule="exact"/>
        <w:ind w:firstLine="4960" w:firstLineChars="1550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2017年8月3日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2FAA"/>
    <w:rsid w:val="035567FE"/>
    <w:rsid w:val="09191920"/>
    <w:rsid w:val="092A2311"/>
    <w:rsid w:val="0A5B6B75"/>
    <w:rsid w:val="0AAF1EFF"/>
    <w:rsid w:val="0B732644"/>
    <w:rsid w:val="0C77212D"/>
    <w:rsid w:val="0D05109A"/>
    <w:rsid w:val="0DE32B37"/>
    <w:rsid w:val="0EEF56DE"/>
    <w:rsid w:val="0F0C6A91"/>
    <w:rsid w:val="0FB57306"/>
    <w:rsid w:val="12A875F8"/>
    <w:rsid w:val="12ED4802"/>
    <w:rsid w:val="13BD1EF3"/>
    <w:rsid w:val="161D1FA2"/>
    <w:rsid w:val="179D3C08"/>
    <w:rsid w:val="18E85FC7"/>
    <w:rsid w:val="197653DC"/>
    <w:rsid w:val="19B17E85"/>
    <w:rsid w:val="1A7963E0"/>
    <w:rsid w:val="1AD81F30"/>
    <w:rsid w:val="1B974511"/>
    <w:rsid w:val="1C9A4360"/>
    <w:rsid w:val="2047611A"/>
    <w:rsid w:val="20886930"/>
    <w:rsid w:val="20C20B7C"/>
    <w:rsid w:val="211126EB"/>
    <w:rsid w:val="22910F9B"/>
    <w:rsid w:val="2310254D"/>
    <w:rsid w:val="24E620B3"/>
    <w:rsid w:val="2699725A"/>
    <w:rsid w:val="295632CE"/>
    <w:rsid w:val="29FD70F7"/>
    <w:rsid w:val="2BE3378C"/>
    <w:rsid w:val="2C2B71A1"/>
    <w:rsid w:val="2D163691"/>
    <w:rsid w:val="2E404145"/>
    <w:rsid w:val="2F6724A9"/>
    <w:rsid w:val="305C18B2"/>
    <w:rsid w:val="31FF5F28"/>
    <w:rsid w:val="324149AD"/>
    <w:rsid w:val="337714A2"/>
    <w:rsid w:val="35224850"/>
    <w:rsid w:val="35452894"/>
    <w:rsid w:val="359A08B4"/>
    <w:rsid w:val="35D643C8"/>
    <w:rsid w:val="37B12239"/>
    <w:rsid w:val="38527ACA"/>
    <w:rsid w:val="38641867"/>
    <w:rsid w:val="39C840CD"/>
    <w:rsid w:val="3A3473BF"/>
    <w:rsid w:val="3A7C43E7"/>
    <w:rsid w:val="3B662087"/>
    <w:rsid w:val="3EA42C66"/>
    <w:rsid w:val="418E4C0E"/>
    <w:rsid w:val="43027B38"/>
    <w:rsid w:val="444902C5"/>
    <w:rsid w:val="451762CF"/>
    <w:rsid w:val="4575594F"/>
    <w:rsid w:val="45C22D84"/>
    <w:rsid w:val="46D80BB0"/>
    <w:rsid w:val="46DA726A"/>
    <w:rsid w:val="47FC7BE4"/>
    <w:rsid w:val="4800304F"/>
    <w:rsid w:val="480657F5"/>
    <w:rsid w:val="48425C31"/>
    <w:rsid w:val="493B1528"/>
    <w:rsid w:val="4BFA20A9"/>
    <w:rsid w:val="4CCC0AA3"/>
    <w:rsid w:val="4D6C6A6A"/>
    <w:rsid w:val="4F6A0B4B"/>
    <w:rsid w:val="51546722"/>
    <w:rsid w:val="52BC0BB4"/>
    <w:rsid w:val="53014F4B"/>
    <w:rsid w:val="534C28BF"/>
    <w:rsid w:val="554638E1"/>
    <w:rsid w:val="5A39307A"/>
    <w:rsid w:val="5A7820E4"/>
    <w:rsid w:val="5AD20FEA"/>
    <w:rsid w:val="5C3D5A6F"/>
    <w:rsid w:val="5D072B6A"/>
    <w:rsid w:val="5DB65AE4"/>
    <w:rsid w:val="5FBF57D6"/>
    <w:rsid w:val="63216485"/>
    <w:rsid w:val="635C2E6F"/>
    <w:rsid w:val="658E13DC"/>
    <w:rsid w:val="661715D7"/>
    <w:rsid w:val="66AE5A82"/>
    <w:rsid w:val="66BE2FED"/>
    <w:rsid w:val="676F1A53"/>
    <w:rsid w:val="6B7A379A"/>
    <w:rsid w:val="6C14282E"/>
    <w:rsid w:val="6CCC3252"/>
    <w:rsid w:val="6F3E5562"/>
    <w:rsid w:val="6F4F0DED"/>
    <w:rsid w:val="6FA73B91"/>
    <w:rsid w:val="70845761"/>
    <w:rsid w:val="710E152F"/>
    <w:rsid w:val="7138526C"/>
    <w:rsid w:val="72B707A7"/>
    <w:rsid w:val="739D193F"/>
    <w:rsid w:val="746A1FDF"/>
    <w:rsid w:val="746A6DB5"/>
    <w:rsid w:val="75DA31F3"/>
    <w:rsid w:val="798B4320"/>
    <w:rsid w:val="7C935CA0"/>
    <w:rsid w:val="7CBE2EAA"/>
    <w:rsid w:val="7D504398"/>
    <w:rsid w:val="7DE92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2017-08-03T03:37:39Z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