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600" w:lineRule="exact"/>
        <w:ind w:left="0"/>
        <w:jc w:val="center"/>
        <w:textAlignment w:val="baseline"/>
        <w:rPr>
          <w:rFonts w:hint="eastAsia" w:ascii="方正小标宋简体" w:hAnsi="方正小标宋简体" w:eastAsia="方正小标宋简体" w:cs="方正小标宋简体"/>
          <w:b w:val="0"/>
          <w:bCs w:val="0"/>
          <w:spacing w:val="0"/>
          <w:sz w:val="44"/>
          <w:szCs w:val="44"/>
        </w:rPr>
      </w:pPr>
      <w:r>
        <w:rPr>
          <w:rFonts w:hint="eastAsia" w:ascii="方正小标宋简体" w:hAnsi="方正小标宋简体" w:eastAsia="方正小标宋简体" w:cs="方正小标宋简体"/>
          <w:b w:val="0"/>
          <w:bCs w:val="0"/>
          <w:spacing w:val="0"/>
          <w:sz w:val="44"/>
          <w:szCs w:val="44"/>
        </w:rPr>
        <w:t>2022度</w:t>
      </w:r>
      <w:r>
        <w:rPr>
          <w:rFonts w:hint="eastAsia" w:ascii="方正小标宋简体" w:hAnsi="方正小标宋简体" w:eastAsia="方正小标宋简体" w:cs="方正小标宋简体"/>
          <w:b w:val="0"/>
          <w:bCs w:val="0"/>
          <w:spacing w:val="0"/>
          <w:sz w:val="44"/>
          <w:szCs w:val="44"/>
          <w:lang w:eastAsia="zh-CN"/>
        </w:rPr>
        <w:t>湘江新区含浦街道办事处</w:t>
      </w:r>
      <w:r>
        <w:rPr>
          <w:rFonts w:hint="eastAsia" w:ascii="方正小标宋简体" w:hAnsi="方正小标宋简体" w:eastAsia="方正小标宋简体" w:cs="方正小标宋简体"/>
          <w:b w:val="0"/>
          <w:bCs w:val="0"/>
          <w:spacing w:val="0"/>
          <w:sz w:val="44"/>
          <w:szCs w:val="44"/>
        </w:rPr>
        <w:t>整体支出</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jc w:val="center"/>
        <w:textAlignment w:val="baseline"/>
        <w:rPr>
          <w:rFonts w:hint="eastAsia" w:ascii="方正小标宋简体" w:hAnsi="方正小标宋简体" w:eastAsia="方正小标宋简体" w:cs="方正小标宋简体"/>
          <w:b w:val="0"/>
          <w:bCs w:val="0"/>
          <w:spacing w:val="0"/>
          <w:sz w:val="44"/>
          <w:szCs w:val="44"/>
        </w:rPr>
      </w:pPr>
      <w:r>
        <w:rPr>
          <w:rFonts w:hint="eastAsia" w:ascii="方正小标宋简体" w:hAnsi="方正小标宋简体" w:eastAsia="方正小标宋简体" w:cs="方正小标宋简体"/>
          <w:b w:val="0"/>
          <w:bCs w:val="0"/>
          <w:spacing w:val="0"/>
          <w:sz w:val="44"/>
          <w:szCs w:val="44"/>
        </w:rPr>
        <w:t>预算绩效自评报告</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jc w:val="center"/>
        <w:textAlignment w:val="baseline"/>
        <w:rPr>
          <w:rFonts w:hint="eastAsia" w:ascii="方正小标宋简体" w:hAnsi="方正小标宋简体" w:eastAsia="方正小标宋简体" w:cs="方正小标宋简体"/>
          <w:b w:val="0"/>
          <w:bCs w:val="0"/>
          <w:spacing w:val="0"/>
          <w:sz w:val="44"/>
          <w:szCs w:val="44"/>
        </w:rPr>
      </w:pPr>
    </w:p>
    <w:p>
      <w:pPr>
        <w:keepNext w:val="0"/>
        <w:keepLines w:val="0"/>
        <w:pageBreakBefore w:val="0"/>
        <w:widowControl/>
        <w:kinsoku w:val="0"/>
        <w:wordWrap/>
        <w:overflowPunct/>
        <w:topLinePunct w:val="0"/>
        <w:autoSpaceDE w:val="0"/>
        <w:autoSpaceDN w:val="0"/>
        <w:bidi w:val="0"/>
        <w:adjustRightInd w:val="0"/>
        <w:snapToGrid w:val="0"/>
        <w:spacing w:line="600" w:lineRule="exact"/>
        <w:ind w:left="0" w:leftChars="0" w:firstLine="620" w:firstLineChars="200"/>
        <w:jc w:val="both"/>
        <w:textAlignment w:val="baseline"/>
        <w:outlineLvl w:val="0"/>
        <w:rPr>
          <w:rFonts w:hint="eastAsia" w:ascii="黑体" w:hAnsi="黑体" w:eastAsia="黑体" w:cs="黑体"/>
          <w:b w:val="0"/>
          <w:bCs w:val="0"/>
          <w:spacing w:val="0"/>
          <w:sz w:val="31"/>
          <w:szCs w:val="31"/>
        </w:rPr>
      </w:pPr>
      <w:r>
        <w:rPr>
          <w:rFonts w:hint="eastAsia" w:ascii="黑体" w:hAnsi="黑体" w:eastAsia="黑体" w:cs="黑体"/>
          <w:b w:val="0"/>
          <w:bCs w:val="0"/>
          <w:spacing w:val="0"/>
          <w:sz w:val="31"/>
          <w:szCs w:val="31"/>
        </w:rPr>
        <w:t>一、</w:t>
      </w:r>
      <w:r>
        <w:rPr>
          <w:rFonts w:hint="eastAsia" w:ascii="黑体" w:hAnsi="黑体" w:eastAsia="黑体" w:cs="黑体"/>
          <w:b w:val="0"/>
          <w:bCs w:val="0"/>
          <w:spacing w:val="0"/>
          <w:sz w:val="31"/>
          <w:szCs w:val="31"/>
          <w:lang w:eastAsia="zh-CN"/>
        </w:rPr>
        <w:t>部门</w:t>
      </w:r>
      <w:r>
        <w:rPr>
          <w:rFonts w:hint="eastAsia" w:ascii="黑体" w:hAnsi="黑体" w:eastAsia="黑体" w:cs="黑体"/>
          <w:b w:val="0"/>
          <w:bCs w:val="0"/>
          <w:spacing w:val="0"/>
          <w:sz w:val="31"/>
          <w:szCs w:val="31"/>
        </w:rPr>
        <w:t>概况</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leftChars="0" w:firstLine="640" w:firstLineChars="200"/>
        <w:jc w:val="both"/>
        <w:textAlignment w:val="baseline"/>
        <w:rPr>
          <w:rFonts w:hint="eastAsia" w:asciiTheme="majorEastAsia" w:hAnsiTheme="majorEastAsia" w:eastAsiaTheme="majorEastAsia" w:cstheme="majorEastAsia"/>
          <w:b w:val="0"/>
          <w:bCs w:val="0"/>
          <w:spacing w:val="0"/>
          <w:sz w:val="32"/>
          <w:szCs w:val="32"/>
        </w:rPr>
      </w:pPr>
      <w:r>
        <w:rPr>
          <w:rFonts w:hint="eastAsia" w:asciiTheme="majorEastAsia" w:hAnsiTheme="majorEastAsia" w:eastAsiaTheme="majorEastAsia" w:cstheme="majorEastAsia"/>
          <w:b w:val="0"/>
          <w:bCs w:val="0"/>
          <w:spacing w:val="0"/>
          <w:sz w:val="32"/>
          <w:szCs w:val="32"/>
          <w:lang w:eastAsia="zh-CN"/>
        </w:rPr>
        <w:t>（</w:t>
      </w:r>
      <w:r>
        <w:rPr>
          <w:rFonts w:hint="eastAsia" w:asciiTheme="majorEastAsia" w:hAnsiTheme="majorEastAsia" w:eastAsiaTheme="majorEastAsia" w:cstheme="majorEastAsia"/>
          <w:b w:val="0"/>
          <w:bCs w:val="0"/>
          <w:spacing w:val="0"/>
          <w:sz w:val="32"/>
          <w:szCs w:val="32"/>
        </w:rPr>
        <w:t>一</w:t>
      </w:r>
      <w:r>
        <w:rPr>
          <w:rFonts w:hint="eastAsia" w:asciiTheme="majorEastAsia" w:hAnsiTheme="majorEastAsia" w:eastAsiaTheme="majorEastAsia" w:cstheme="majorEastAsia"/>
          <w:b w:val="0"/>
          <w:bCs w:val="0"/>
          <w:spacing w:val="0"/>
          <w:sz w:val="32"/>
          <w:szCs w:val="32"/>
          <w:lang w:eastAsia="zh-CN"/>
        </w:rPr>
        <w:t>）部门</w:t>
      </w:r>
      <w:r>
        <w:rPr>
          <w:rFonts w:hint="eastAsia" w:asciiTheme="majorEastAsia" w:hAnsiTheme="majorEastAsia" w:eastAsiaTheme="majorEastAsia" w:cstheme="majorEastAsia"/>
          <w:b w:val="0"/>
          <w:bCs w:val="0"/>
          <w:spacing w:val="0"/>
          <w:sz w:val="32"/>
          <w:szCs w:val="32"/>
        </w:rPr>
        <w:t>基本情况</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00" w:lineRule="exact"/>
        <w:ind w:left="0" w:leftChars="0" w:firstLine="640" w:firstLineChars="200"/>
        <w:jc w:val="both"/>
        <w:textAlignment w:val="baseline"/>
        <w:rPr>
          <w:rFonts w:hint="default" w:ascii="Times New Roman" w:hAnsi="Times New Roman" w:eastAsia="仿宋" w:cs="Times New Roman"/>
          <w:spacing w:val="0"/>
          <w:sz w:val="32"/>
          <w:szCs w:val="32"/>
          <w:lang w:eastAsia="zh-CN"/>
        </w:rPr>
      </w:pPr>
      <w:r>
        <w:rPr>
          <w:rFonts w:hint="default" w:ascii="Times New Roman" w:hAnsi="Times New Roman" w:eastAsia="仿宋" w:cs="Times New Roman"/>
          <w:spacing w:val="0"/>
          <w:sz w:val="32"/>
          <w:szCs w:val="32"/>
          <w:lang w:val="en-US" w:eastAsia="zh-CN"/>
        </w:rPr>
        <w:t>1.</w:t>
      </w:r>
      <w:r>
        <w:rPr>
          <w:rFonts w:hint="default" w:ascii="Times New Roman" w:hAnsi="Times New Roman" w:eastAsia="仿宋" w:cs="Times New Roman"/>
          <w:spacing w:val="0"/>
          <w:sz w:val="32"/>
          <w:szCs w:val="32"/>
          <w:lang w:eastAsia="zh-CN"/>
        </w:rPr>
        <w:t>含浦街道下辖含泰社区、大坡村、九丰村、芝字港村、干子村</w:t>
      </w:r>
      <w:r>
        <w:rPr>
          <w:rFonts w:hint="default" w:ascii="Times New Roman" w:hAnsi="Times New Roman" w:eastAsia="仿宋" w:cs="Times New Roman"/>
          <w:spacing w:val="0"/>
          <w:sz w:val="32"/>
          <w:szCs w:val="32"/>
          <w:lang w:val="en-US" w:eastAsia="zh-CN"/>
        </w:rPr>
        <w:t>4</w:t>
      </w:r>
      <w:r>
        <w:rPr>
          <w:rFonts w:hint="default" w:ascii="Times New Roman" w:hAnsi="Times New Roman" w:eastAsia="仿宋" w:cs="Times New Roman"/>
          <w:spacing w:val="0"/>
          <w:sz w:val="32"/>
          <w:szCs w:val="32"/>
          <w:lang w:eastAsia="zh-CN"/>
        </w:rPr>
        <w:t>个村和</w:t>
      </w:r>
      <w:r>
        <w:rPr>
          <w:rFonts w:hint="default" w:ascii="Times New Roman" w:hAnsi="Times New Roman" w:eastAsia="仿宋" w:cs="Times New Roman"/>
          <w:spacing w:val="0"/>
          <w:sz w:val="32"/>
          <w:szCs w:val="32"/>
          <w:lang w:val="en-US" w:eastAsia="zh-CN"/>
        </w:rPr>
        <w:t>1个</w:t>
      </w:r>
      <w:r>
        <w:rPr>
          <w:rFonts w:hint="default" w:ascii="Times New Roman" w:hAnsi="Times New Roman" w:eastAsia="仿宋" w:cs="Times New Roman"/>
          <w:spacing w:val="0"/>
          <w:sz w:val="32"/>
          <w:szCs w:val="32"/>
          <w:lang w:eastAsia="zh-CN"/>
        </w:rPr>
        <w:t>社区，共有190个村民小组和31个居民小组，总人口2.49万人。街道统一设置</w:t>
      </w:r>
      <w:r>
        <w:rPr>
          <w:rFonts w:hint="default" w:ascii="Times New Roman" w:hAnsi="Times New Roman" w:eastAsia="仿宋" w:cs="Times New Roman"/>
          <w:spacing w:val="0"/>
          <w:sz w:val="32"/>
          <w:szCs w:val="32"/>
          <w:lang w:val="en-US" w:eastAsia="zh-CN"/>
        </w:rPr>
        <w:t>6</w:t>
      </w:r>
      <w:r>
        <w:rPr>
          <w:rFonts w:hint="default" w:ascii="Times New Roman" w:hAnsi="Times New Roman" w:eastAsia="仿宋" w:cs="Times New Roman"/>
          <w:spacing w:val="0"/>
          <w:sz w:val="32"/>
          <w:szCs w:val="32"/>
          <w:lang w:eastAsia="zh-CN"/>
        </w:rPr>
        <w:t>个内设机构：党政综合办公室、基层党建办公室、城市管理办公室（区域建设服务办公室）、公共服务办公室(行政审批服务办公室、优化营商环境服务办公室)、公共安全办公室、农业农村办公室。3个街道所属事业单位：政务服务中心（党群服务中心）、网格化综合服务中心、退役军人服务站。1个执法机构：综合行政执法队</w:t>
      </w:r>
      <w:r>
        <w:rPr>
          <w:rFonts w:hint="eastAsia" w:ascii="Times New Roman" w:hAnsi="Times New Roman" w:eastAsia="仿宋" w:cs="Times New Roman"/>
          <w:spacing w:val="0"/>
          <w:sz w:val="32"/>
          <w:szCs w:val="32"/>
          <w:lang w:eastAsia="zh-CN"/>
        </w:rPr>
        <w:t>（</w:t>
      </w:r>
      <w:r>
        <w:rPr>
          <w:rFonts w:hint="default" w:ascii="Times New Roman" w:hAnsi="Times New Roman" w:eastAsia="仿宋" w:cs="Times New Roman"/>
          <w:spacing w:val="0"/>
          <w:sz w:val="32"/>
          <w:szCs w:val="32"/>
          <w:lang w:eastAsia="zh-CN"/>
        </w:rPr>
        <w:t>工作机构和模式待全区统一明确</w:t>
      </w:r>
      <w:r>
        <w:rPr>
          <w:rFonts w:hint="eastAsia" w:ascii="Times New Roman" w:hAnsi="Times New Roman" w:eastAsia="仿宋" w:cs="Times New Roman"/>
          <w:spacing w:val="0"/>
          <w:sz w:val="32"/>
          <w:szCs w:val="32"/>
          <w:lang w:eastAsia="zh-CN"/>
        </w:rPr>
        <w:t>）</w:t>
      </w:r>
      <w:r>
        <w:rPr>
          <w:rFonts w:hint="default" w:ascii="Times New Roman" w:hAnsi="Times New Roman" w:eastAsia="仿宋" w:cs="Times New Roman"/>
          <w:spacing w:val="0"/>
          <w:sz w:val="32"/>
          <w:szCs w:val="32"/>
          <w:lang w:eastAsia="zh-CN"/>
        </w:rPr>
        <w:t>，街道财政所单列。</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00" w:lineRule="exact"/>
        <w:ind w:left="0" w:leftChars="0" w:firstLine="640" w:firstLineChars="200"/>
        <w:jc w:val="both"/>
        <w:textAlignment w:val="baseline"/>
        <w:rPr>
          <w:rFonts w:hint="default" w:ascii="Times New Roman" w:hAnsi="Times New Roman" w:eastAsia="仿宋" w:cs="Times New Roman"/>
          <w:spacing w:val="0"/>
          <w:sz w:val="32"/>
          <w:szCs w:val="32"/>
          <w:lang w:val="en-US" w:eastAsia="zh-CN"/>
        </w:rPr>
      </w:pPr>
      <w:r>
        <w:rPr>
          <w:rFonts w:hint="default" w:ascii="Times New Roman" w:hAnsi="Times New Roman" w:eastAsia="仿宋" w:cs="Times New Roman"/>
          <w:spacing w:val="0"/>
          <w:sz w:val="32"/>
          <w:szCs w:val="32"/>
          <w:lang w:val="en-US" w:eastAsia="zh-CN"/>
        </w:rPr>
        <w:t>2.人员情况：含浦街道在编人数50人，其中行政编制27人，事业编制22人，工勤人员1人，临聘人员68人。</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00" w:lineRule="exact"/>
        <w:ind w:left="0" w:leftChars="0" w:firstLine="640" w:firstLineChars="200"/>
        <w:jc w:val="both"/>
        <w:textAlignment w:val="baseline"/>
        <w:rPr>
          <w:rFonts w:hint="default" w:ascii="Times New Roman" w:hAnsi="Times New Roman" w:eastAsia="仿宋" w:cs="Times New Roman"/>
          <w:spacing w:val="0"/>
          <w:sz w:val="32"/>
          <w:szCs w:val="32"/>
          <w:lang w:val="en-US" w:eastAsia="zh-CN"/>
        </w:rPr>
      </w:pPr>
      <w:r>
        <w:rPr>
          <w:rFonts w:hint="default" w:ascii="Times New Roman" w:hAnsi="Times New Roman" w:eastAsia="仿宋" w:cs="Times New Roman"/>
          <w:spacing w:val="0"/>
          <w:sz w:val="32"/>
          <w:szCs w:val="32"/>
          <w:lang w:val="en-US" w:eastAsia="zh-CN"/>
        </w:rPr>
        <w:t>3.主要职责：</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00" w:lineRule="exact"/>
        <w:ind w:left="0" w:leftChars="0" w:firstLine="640" w:firstLineChars="200"/>
        <w:jc w:val="both"/>
        <w:textAlignment w:val="baseline"/>
        <w:rPr>
          <w:rFonts w:hint="default" w:ascii="Times New Roman" w:hAnsi="Times New Roman" w:eastAsia="仿宋" w:cs="Times New Roman"/>
          <w:spacing w:val="0"/>
          <w:sz w:val="32"/>
          <w:szCs w:val="32"/>
          <w:lang w:val="en-US" w:eastAsia="zh-CN"/>
        </w:rPr>
      </w:pPr>
      <w:r>
        <w:rPr>
          <w:rFonts w:hint="default" w:ascii="Times New Roman" w:hAnsi="Times New Roman" w:eastAsia="仿宋" w:cs="Times New Roman"/>
          <w:spacing w:val="0"/>
          <w:sz w:val="32"/>
          <w:szCs w:val="32"/>
          <w:lang w:val="en-US" w:eastAsia="zh-CN"/>
        </w:rPr>
        <w:t>（1）党政综合办：负责街道机关党务和行政事务工作;负责全面深化改革、宣传思想、意识形态、文明创建、网络安全和信息化、政务公开（电子政务）工作；负责机关文电、机要、保密、信息、会务、档案、督办、后勤保障等工作；负责重要事项的综合协调和重要文稿的起草审核。</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00" w:lineRule="exact"/>
        <w:ind w:left="0" w:leftChars="0" w:firstLine="640" w:firstLineChars="200"/>
        <w:jc w:val="both"/>
        <w:textAlignment w:val="baseline"/>
        <w:rPr>
          <w:rFonts w:hint="default" w:ascii="Times New Roman" w:hAnsi="Times New Roman" w:eastAsia="仿宋" w:cs="Times New Roman"/>
          <w:spacing w:val="0"/>
          <w:sz w:val="32"/>
          <w:szCs w:val="32"/>
          <w:lang w:val="en-US" w:eastAsia="zh-CN"/>
        </w:rPr>
      </w:pPr>
      <w:r>
        <w:rPr>
          <w:rFonts w:hint="default" w:ascii="Times New Roman" w:hAnsi="Times New Roman" w:eastAsia="仿宋" w:cs="Times New Roman"/>
          <w:spacing w:val="0"/>
          <w:sz w:val="32"/>
          <w:szCs w:val="32"/>
          <w:lang w:val="en-US" w:eastAsia="zh-CN"/>
        </w:rPr>
        <w:t>（2）基层党建办：负责基层党的建设、统一战线、民族宗教工作；组织协调辖区内群团组织开展工作；负责绩效考核、人事、编制、老干、关工委和机关干部队伍建设等工作。</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00" w:lineRule="exact"/>
        <w:ind w:left="0" w:leftChars="0" w:firstLine="640" w:firstLineChars="200"/>
        <w:jc w:val="both"/>
        <w:textAlignment w:val="baseline"/>
        <w:rPr>
          <w:rFonts w:hint="default" w:ascii="Times New Roman" w:hAnsi="Times New Roman" w:eastAsia="仿宋" w:cs="Times New Roman"/>
          <w:spacing w:val="0"/>
          <w:sz w:val="32"/>
          <w:szCs w:val="32"/>
          <w:lang w:val="en-US" w:eastAsia="zh-CN"/>
        </w:rPr>
      </w:pPr>
      <w:r>
        <w:rPr>
          <w:rFonts w:hint="default" w:ascii="Times New Roman" w:hAnsi="Times New Roman" w:eastAsia="仿宋" w:cs="Times New Roman"/>
          <w:spacing w:val="0"/>
          <w:sz w:val="32"/>
          <w:szCs w:val="32"/>
          <w:lang w:val="en-US" w:eastAsia="zh-CN"/>
        </w:rPr>
        <w:t>（3）城市管理办公室：负责市、区关于辖区发展重大建设规划的落实；组织实施和统筹协调城市综合管理工作，负责职责范围内的规划建设、物业管理、市容环境、交通运输、市场监管、生态环境保护;负责征地拆迁和重建安置等工作。</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00" w:lineRule="exact"/>
        <w:ind w:left="0" w:leftChars="0" w:firstLine="640" w:firstLineChars="200"/>
        <w:jc w:val="both"/>
        <w:textAlignment w:val="baseline"/>
        <w:rPr>
          <w:rFonts w:hint="default" w:ascii="Times New Roman" w:hAnsi="Times New Roman" w:eastAsia="仿宋" w:cs="Times New Roman"/>
          <w:spacing w:val="0"/>
          <w:sz w:val="32"/>
          <w:szCs w:val="32"/>
          <w:lang w:val="en-US" w:eastAsia="zh-CN"/>
        </w:rPr>
      </w:pPr>
      <w:r>
        <w:rPr>
          <w:rFonts w:hint="default" w:ascii="Times New Roman" w:hAnsi="Times New Roman" w:eastAsia="仿宋" w:cs="Times New Roman"/>
          <w:spacing w:val="0"/>
          <w:sz w:val="32"/>
          <w:szCs w:val="32"/>
          <w:lang w:val="en-US" w:eastAsia="zh-CN"/>
        </w:rPr>
        <w:t>（4）公共服务办：负责辖区内人力资源社会保障、民政、社会救助、退役军人、残联、教育、科技、文化、旅游、体育、卫生健康、医疗保障等工作，指导基层开展自治；负责行政审批事项的组织实施，优化区域发展环境；指导街道政务服务工作。</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00" w:lineRule="exact"/>
        <w:ind w:left="0" w:leftChars="0" w:firstLine="640" w:firstLineChars="200"/>
        <w:jc w:val="both"/>
        <w:textAlignment w:val="baseline"/>
        <w:rPr>
          <w:rFonts w:hint="default" w:ascii="Times New Roman" w:hAnsi="Times New Roman" w:eastAsia="仿宋" w:cs="Times New Roman"/>
          <w:spacing w:val="0"/>
          <w:sz w:val="32"/>
          <w:szCs w:val="32"/>
          <w:lang w:val="en-US" w:eastAsia="zh-CN"/>
        </w:rPr>
      </w:pPr>
      <w:r>
        <w:rPr>
          <w:rFonts w:hint="default" w:ascii="Times New Roman" w:hAnsi="Times New Roman" w:eastAsia="仿宋" w:cs="Times New Roman"/>
          <w:spacing w:val="0"/>
          <w:sz w:val="32"/>
          <w:szCs w:val="32"/>
          <w:lang w:val="en-US" w:eastAsia="zh-CN"/>
        </w:rPr>
        <w:t>（5）公共安全办：负责辖区内社会治安综合治理、应急管理、法治建设、信访、政协等工作,维护辖区安全稳定；指导辖区内网格化综合管理工作。落实一、二、三产业的指导、管理；负责辖区乡村振兴等工作；</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00" w:lineRule="exact"/>
        <w:ind w:left="0" w:leftChars="0" w:firstLine="640" w:firstLineChars="200"/>
        <w:jc w:val="both"/>
        <w:textAlignment w:val="baseline"/>
        <w:rPr>
          <w:rFonts w:hint="default" w:ascii="Times New Roman" w:hAnsi="Times New Roman" w:eastAsia="仿宋" w:cs="Times New Roman"/>
          <w:spacing w:val="0"/>
          <w:sz w:val="32"/>
          <w:szCs w:val="32"/>
          <w:lang w:val="en-US" w:eastAsia="zh-CN"/>
        </w:rPr>
      </w:pPr>
      <w:r>
        <w:rPr>
          <w:rFonts w:hint="default" w:ascii="Times New Roman" w:hAnsi="Times New Roman" w:eastAsia="仿宋" w:cs="Times New Roman"/>
          <w:spacing w:val="0"/>
          <w:sz w:val="32"/>
          <w:szCs w:val="32"/>
          <w:lang w:val="en-US" w:eastAsia="zh-CN"/>
        </w:rPr>
        <w:t>（6）农业农村办：负责减轻农民负担工作的监督管理、农村土地承包管理、集体资产管理、农林水利（精准扶贫、河长制）等工作；指导农村专业合作社组织发展；负责经济发展规划的制定、辖区社会经济调查统计、两型社会建设、商务等工作。</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00" w:lineRule="exact"/>
        <w:ind w:left="0" w:leftChars="0" w:firstLine="640" w:firstLineChars="200"/>
        <w:jc w:val="both"/>
        <w:textAlignment w:val="baseline"/>
        <w:rPr>
          <w:rFonts w:hint="default" w:ascii="Times New Roman" w:hAnsi="Times New Roman" w:eastAsia="仿宋" w:cs="Times New Roman"/>
          <w:spacing w:val="0"/>
          <w:sz w:val="32"/>
          <w:szCs w:val="32"/>
          <w:lang w:val="en-US" w:eastAsia="zh-CN"/>
        </w:rPr>
      </w:pPr>
      <w:r>
        <w:rPr>
          <w:rFonts w:hint="default" w:ascii="Times New Roman" w:hAnsi="Times New Roman" w:eastAsia="仿宋" w:cs="Times New Roman"/>
          <w:spacing w:val="0"/>
          <w:sz w:val="32"/>
          <w:szCs w:val="32"/>
          <w:lang w:val="en-US" w:eastAsia="zh-CN"/>
        </w:rPr>
        <w:t>（7）财政所</w:t>
      </w:r>
      <w:r>
        <w:rPr>
          <w:rFonts w:hint="eastAsia" w:ascii="Times New Roman" w:hAnsi="Times New Roman" w:eastAsia="仿宋" w:cs="Times New Roman"/>
          <w:spacing w:val="0"/>
          <w:sz w:val="32"/>
          <w:szCs w:val="32"/>
          <w:lang w:val="en-US" w:eastAsia="zh-CN"/>
        </w:rPr>
        <w:t>：</w:t>
      </w:r>
      <w:r>
        <w:rPr>
          <w:rFonts w:hint="default" w:ascii="Times New Roman" w:hAnsi="Times New Roman" w:eastAsia="仿宋" w:cs="Times New Roman"/>
          <w:spacing w:val="0"/>
          <w:sz w:val="32"/>
          <w:szCs w:val="32"/>
          <w:lang w:val="en-US" w:eastAsia="zh-CN"/>
        </w:rPr>
        <w:t>负责承担一般预算资金收支管理、部门综合预算、非税收入、国有资产、财政专项资金管理、财政监管等工作，负责社区（村）财务管理和指导，负责涉农补贴资金发放管理，负责审计、金融工作。</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00" w:lineRule="exact"/>
        <w:ind w:left="0" w:leftChars="0" w:firstLine="640" w:firstLineChars="200"/>
        <w:jc w:val="both"/>
        <w:textAlignment w:val="baseline"/>
        <w:rPr>
          <w:rFonts w:hint="default" w:ascii="Times New Roman" w:hAnsi="Times New Roman" w:eastAsia="仿宋" w:cs="Times New Roman"/>
          <w:spacing w:val="0"/>
          <w:sz w:val="32"/>
          <w:szCs w:val="32"/>
          <w:lang w:val="en-US" w:eastAsia="zh-CN"/>
        </w:rPr>
      </w:pPr>
      <w:r>
        <w:rPr>
          <w:rFonts w:hint="default" w:ascii="Times New Roman" w:hAnsi="Times New Roman" w:eastAsia="仿宋" w:cs="Times New Roman"/>
          <w:spacing w:val="0"/>
          <w:sz w:val="32"/>
          <w:szCs w:val="32"/>
          <w:lang w:val="en-US" w:eastAsia="zh-CN"/>
        </w:rPr>
        <w:t>（8）政务服务中心</w:t>
      </w:r>
      <w:r>
        <w:rPr>
          <w:rFonts w:hint="eastAsia" w:ascii="Times New Roman" w:hAnsi="Times New Roman" w:eastAsia="仿宋" w:cs="Times New Roman"/>
          <w:spacing w:val="0"/>
          <w:sz w:val="32"/>
          <w:szCs w:val="32"/>
          <w:lang w:val="en-US" w:eastAsia="zh-CN"/>
        </w:rPr>
        <w:t>：</w:t>
      </w:r>
      <w:r>
        <w:rPr>
          <w:rFonts w:hint="default" w:ascii="Times New Roman" w:hAnsi="Times New Roman" w:eastAsia="仿宋" w:cs="Times New Roman"/>
          <w:spacing w:val="0"/>
          <w:sz w:val="32"/>
          <w:szCs w:val="32"/>
          <w:lang w:val="en-US" w:eastAsia="zh-CN"/>
        </w:rPr>
        <w:t>负责与群众、驻区单位相关政务服务事项的办理。加强街道政务服务大厅建设，充分发挥综合便民服务作用，进一步拓展服务党组织和党员群众的工作。</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00" w:lineRule="exact"/>
        <w:ind w:left="0" w:leftChars="0" w:firstLine="640" w:firstLineChars="200"/>
        <w:jc w:val="both"/>
        <w:textAlignment w:val="baseline"/>
        <w:rPr>
          <w:rFonts w:hint="default" w:ascii="Times New Roman" w:hAnsi="Times New Roman" w:eastAsia="仿宋" w:cs="Times New Roman"/>
          <w:spacing w:val="0"/>
          <w:sz w:val="32"/>
          <w:szCs w:val="32"/>
          <w:lang w:val="en-US" w:eastAsia="zh-CN"/>
        </w:rPr>
      </w:pPr>
      <w:r>
        <w:rPr>
          <w:rFonts w:hint="default" w:ascii="Times New Roman" w:hAnsi="Times New Roman" w:eastAsia="仿宋" w:cs="Times New Roman"/>
          <w:spacing w:val="0"/>
          <w:sz w:val="32"/>
          <w:szCs w:val="32"/>
          <w:lang w:val="en-US" w:eastAsia="zh-CN"/>
        </w:rPr>
        <w:t>（9）网格化综合服务中心</w:t>
      </w:r>
      <w:r>
        <w:rPr>
          <w:rFonts w:hint="eastAsia" w:ascii="Times New Roman" w:hAnsi="Times New Roman" w:eastAsia="仿宋" w:cs="Times New Roman"/>
          <w:spacing w:val="0"/>
          <w:sz w:val="32"/>
          <w:szCs w:val="32"/>
          <w:lang w:val="en-US" w:eastAsia="zh-CN"/>
        </w:rPr>
        <w:t>：</w:t>
      </w:r>
      <w:r>
        <w:rPr>
          <w:rFonts w:hint="default" w:ascii="Times New Roman" w:hAnsi="Times New Roman" w:eastAsia="仿宋" w:cs="Times New Roman"/>
          <w:spacing w:val="0"/>
          <w:sz w:val="32"/>
          <w:szCs w:val="32"/>
          <w:lang w:val="en-US" w:eastAsia="zh-CN"/>
        </w:rPr>
        <w:t>主要负责网格化综合管理和12345热线等平台的事务性、辅助性工作,负责群众工作，为网格化管理的巡查、指挥、调度、督办等工作提供技术支撑。</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00" w:lineRule="exact"/>
        <w:ind w:left="0" w:leftChars="0" w:firstLine="640" w:firstLineChars="200"/>
        <w:jc w:val="both"/>
        <w:textAlignment w:val="baseline"/>
        <w:rPr>
          <w:rFonts w:hint="default" w:ascii="Times New Roman" w:hAnsi="Times New Roman" w:eastAsia="仿宋" w:cs="Times New Roman"/>
          <w:spacing w:val="0"/>
          <w:sz w:val="32"/>
          <w:szCs w:val="32"/>
          <w:lang w:val="en-US" w:eastAsia="zh-CN"/>
        </w:rPr>
      </w:pPr>
      <w:r>
        <w:rPr>
          <w:rFonts w:hint="default" w:ascii="Times New Roman" w:hAnsi="Times New Roman" w:eastAsia="仿宋" w:cs="Times New Roman"/>
          <w:spacing w:val="0"/>
          <w:sz w:val="32"/>
          <w:szCs w:val="32"/>
          <w:lang w:val="en-US" w:eastAsia="zh-CN"/>
        </w:rPr>
        <w:t>（10）退役军人服务站</w:t>
      </w:r>
      <w:r>
        <w:rPr>
          <w:rFonts w:hint="eastAsia" w:ascii="Times New Roman" w:hAnsi="Times New Roman" w:eastAsia="仿宋" w:cs="Times New Roman"/>
          <w:spacing w:val="0"/>
          <w:sz w:val="32"/>
          <w:szCs w:val="32"/>
          <w:lang w:val="en-US" w:eastAsia="zh-CN"/>
        </w:rPr>
        <w:t>：</w:t>
      </w:r>
      <w:r>
        <w:rPr>
          <w:rFonts w:hint="default" w:ascii="Times New Roman" w:hAnsi="Times New Roman" w:eastAsia="仿宋" w:cs="Times New Roman"/>
          <w:spacing w:val="0"/>
          <w:sz w:val="32"/>
          <w:szCs w:val="32"/>
          <w:lang w:val="en-US" w:eastAsia="zh-CN"/>
        </w:rPr>
        <w:t>协助做好退役军人行政关系、组织关系、供给关系转接和档案移交，推动将退役军人流动党员纳入党的基层组织，配合组织部门指导基层党组织做好教育管理；协助做好退役军人来信来访、接待办理、心理疏导、权益咨询、政策解答、法律服务以及涉退役军人舆情的收集、引导等工作；协助做好军属、烈属、伤病残军人、带病返乡退役军人服务等事务性工作；协助开展退役军人和其他优抚对象信息数据采集、资料管理、汇总分析等工作；负责提供就业创业服务和政策咨询，协助开展职业教育和技能培训，承办自主就业退役军人招聘会、推介会、就业论坛等，搭建就业创业、困难退役军人军属帮扶援助平台；协助做好信息服务管理工作；完成区退役军人事务局交办的其他工作。</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00" w:lineRule="exact"/>
        <w:ind w:left="0" w:leftChars="0" w:firstLine="640" w:firstLineChars="200"/>
        <w:jc w:val="both"/>
        <w:textAlignment w:val="baseline"/>
        <w:rPr>
          <w:rFonts w:hint="eastAsia" w:ascii="Times New Roman" w:hAnsi="Times New Roman" w:eastAsia="仿宋" w:cs="Times New Roman"/>
          <w:spacing w:val="0"/>
          <w:sz w:val="32"/>
          <w:szCs w:val="32"/>
          <w:lang w:val="en-US" w:eastAsia="zh-CN"/>
        </w:rPr>
      </w:pPr>
      <w:r>
        <w:rPr>
          <w:rFonts w:hint="eastAsia" w:ascii="Times New Roman" w:hAnsi="Times New Roman" w:eastAsia="仿宋" w:cs="Times New Roman"/>
          <w:spacing w:val="0"/>
          <w:sz w:val="32"/>
          <w:szCs w:val="32"/>
          <w:lang w:val="en-US" w:eastAsia="zh-CN"/>
        </w:rPr>
        <w:t>4.2022年工作计划：</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00" w:lineRule="exact"/>
        <w:ind w:left="0" w:leftChars="0" w:firstLine="640" w:firstLineChars="200"/>
        <w:jc w:val="both"/>
        <w:textAlignment w:val="baseline"/>
        <w:rPr>
          <w:rFonts w:hint="default" w:ascii="Times New Roman" w:hAnsi="Times New Roman" w:eastAsia="仿宋" w:cs="Times New Roman"/>
          <w:spacing w:val="0"/>
          <w:sz w:val="32"/>
          <w:szCs w:val="32"/>
          <w:lang w:val="en-US" w:eastAsia="zh-CN"/>
        </w:rPr>
      </w:pPr>
      <w:r>
        <w:rPr>
          <w:rFonts w:hint="default" w:ascii="Times New Roman" w:hAnsi="Times New Roman" w:eastAsia="仿宋" w:cs="Times New Roman"/>
          <w:spacing w:val="0"/>
          <w:sz w:val="32"/>
          <w:szCs w:val="32"/>
          <w:lang w:val="en-US" w:eastAsia="zh-CN"/>
        </w:rPr>
        <w:t>2022年，含浦街道将以习近平新时代中国特色社会主义思想和党</w:t>
      </w:r>
      <w:r>
        <w:rPr>
          <w:rFonts w:hint="eastAsia" w:ascii="Times New Roman" w:hAnsi="Times New Roman" w:eastAsia="仿宋" w:cs="Times New Roman"/>
          <w:spacing w:val="0"/>
          <w:sz w:val="32"/>
          <w:szCs w:val="32"/>
          <w:lang w:val="en-US" w:eastAsia="zh-CN"/>
        </w:rPr>
        <w:t>的</w:t>
      </w:r>
      <w:bookmarkStart w:id="0" w:name="_GoBack"/>
      <w:bookmarkEnd w:id="0"/>
      <w:r>
        <w:rPr>
          <w:rFonts w:hint="default" w:ascii="Times New Roman" w:hAnsi="Times New Roman" w:eastAsia="仿宋" w:cs="Times New Roman"/>
          <w:spacing w:val="0"/>
          <w:sz w:val="32"/>
          <w:szCs w:val="32"/>
          <w:lang w:val="en-US" w:eastAsia="zh-CN"/>
        </w:rPr>
        <w:t>十九届六中全会精神、习近平总书记考察湖南讲话精神为指引，认真贯彻落实省第十二次党代会精神、市第十四次党代会和区第六次党代会精神，紧扣区委“五城同建”战略部署，以推动产业发展升级、优化农村人居环境、创新基层社会治理、维护大局安全稳定为重点，在全区“一打造、三当好”中贡献含浦力量。</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00" w:lineRule="exact"/>
        <w:ind w:left="0" w:leftChars="0" w:firstLine="640" w:firstLineChars="200"/>
        <w:jc w:val="both"/>
        <w:textAlignment w:val="baseline"/>
        <w:rPr>
          <w:rFonts w:hint="default" w:ascii="Times New Roman" w:hAnsi="Times New Roman" w:eastAsia="仿宋" w:cs="Times New Roman"/>
          <w:spacing w:val="0"/>
          <w:sz w:val="32"/>
          <w:szCs w:val="32"/>
          <w:lang w:val="en-US" w:eastAsia="zh-CN"/>
        </w:rPr>
      </w:pPr>
      <w:r>
        <w:rPr>
          <w:rFonts w:hint="default" w:asciiTheme="majorEastAsia" w:hAnsiTheme="majorEastAsia" w:eastAsiaTheme="majorEastAsia" w:cstheme="majorEastAsia"/>
          <w:b w:val="0"/>
          <w:bCs w:val="0"/>
          <w:spacing w:val="0"/>
          <w:sz w:val="32"/>
          <w:szCs w:val="32"/>
          <w:lang w:val="en-US" w:eastAsia="zh-CN"/>
        </w:rPr>
        <w:t>（</w:t>
      </w:r>
      <w:r>
        <w:rPr>
          <w:rFonts w:hint="eastAsia" w:asciiTheme="majorEastAsia" w:hAnsiTheme="majorEastAsia" w:eastAsiaTheme="majorEastAsia" w:cstheme="majorEastAsia"/>
          <w:b w:val="0"/>
          <w:bCs w:val="0"/>
          <w:spacing w:val="0"/>
          <w:sz w:val="32"/>
          <w:szCs w:val="32"/>
          <w:lang w:val="en-US" w:eastAsia="zh-CN"/>
        </w:rPr>
        <w:t>1</w:t>
      </w:r>
      <w:r>
        <w:rPr>
          <w:rFonts w:hint="default" w:asciiTheme="majorEastAsia" w:hAnsiTheme="majorEastAsia" w:eastAsiaTheme="majorEastAsia" w:cstheme="majorEastAsia"/>
          <w:b w:val="0"/>
          <w:bCs w:val="0"/>
          <w:spacing w:val="0"/>
          <w:sz w:val="32"/>
          <w:szCs w:val="32"/>
          <w:lang w:val="en-US" w:eastAsia="zh-CN"/>
        </w:rPr>
        <w:t>）坚持繁荣都市农业，着力构建产业发展新格局。</w:t>
      </w:r>
      <w:r>
        <w:rPr>
          <w:rFonts w:hint="default" w:ascii="Times New Roman" w:hAnsi="Times New Roman" w:eastAsia="仿宋" w:cs="Times New Roman"/>
          <w:spacing w:val="0"/>
          <w:sz w:val="32"/>
          <w:szCs w:val="32"/>
          <w:lang w:val="en-US" w:eastAsia="zh-CN"/>
        </w:rPr>
        <w:t>紧紧围绕“全面推进乡村振兴”主任务，以经济建设为抓手，激发乡村振兴内生动力。发展壮大集体经济，盘活存量资源，提升存量资产使用价值，增强村级“造血”功能，努力将大坡村、含泰社区、九丰村发展成为集体经济发展示范强村。举办好第七届“含浦油菜花节”，不断赋能“含浦美食”品牌价值，打造乡村节会旅游新亮点。树立强烈的品牌意识，发挥“含浦油菜花节”、“含浦美食节”等活动效应，将美丽宜居村庄建设与特色民宿、农家乐打造有机结合，探索“田园+康养+研学”模式，持续擦亮“含浦油菜”、“含浦美食”等文旅休闲品牌。加快“菜大姐”农业综合体项目建设，构筑岳麓区农业产业新引擎。加强农业项目招商力度，引进1-2家有实力、有规模的现代农业综合体。抢抓湘江新区智能驾驶测试区发展机遇，集聚一批活力强、带动广的智能驾驶产业项目，构筑产业发展动力源。</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00" w:lineRule="exact"/>
        <w:ind w:left="0" w:leftChars="0" w:firstLine="640" w:firstLineChars="200"/>
        <w:jc w:val="both"/>
        <w:textAlignment w:val="baseline"/>
        <w:rPr>
          <w:rFonts w:hint="default" w:ascii="Times New Roman" w:hAnsi="Times New Roman" w:eastAsia="仿宋" w:cs="Times New Roman"/>
          <w:spacing w:val="0"/>
          <w:sz w:val="32"/>
          <w:szCs w:val="32"/>
          <w:lang w:val="en-US" w:eastAsia="zh-CN"/>
        </w:rPr>
      </w:pPr>
      <w:r>
        <w:rPr>
          <w:rFonts w:hint="default" w:asciiTheme="majorEastAsia" w:hAnsiTheme="majorEastAsia" w:eastAsiaTheme="majorEastAsia" w:cstheme="majorEastAsia"/>
          <w:b w:val="0"/>
          <w:bCs w:val="0"/>
          <w:spacing w:val="0"/>
          <w:sz w:val="32"/>
          <w:szCs w:val="32"/>
          <w:lang w:val="en-US" w:eastAsia="zh-CN"/>
        </w:rPr>
        <w:t>（</w:t>
      </w:r>
      <w:r>
        <w:rPr>
          <w:rFonts w:hint="eastAsia" w:asciiTheme="majorEastAsia" w:hAnsiTheme="majorEastAsia" w:eastAsiaTheme="majorEastAsia" w:cstheme="majorEastAsia"/>
          <w:b w:val="0"/>
          <w:bCs w:val="0"/>
          <w:spacing w:val="0"/>
          <w:sz w:val="32"/>
          <w:szCs w:val="32"/>
          <w:lang w:val="en-US" w:eastAsia="zh-CN"/>
        </w:rPr>
        <w:t>2</w:t>
      </w:r>
      <w:r>
        <w:rPr>
          <w:rFonts w:hint="default" w:asciiTheme="majorEastAsia" w:hAnsiTheme="majorEastAsia" w:eastAsiaTheme="majorEastAsia" w:cstheme="majorEastAsia"/>
          <w:b w:val="0"/>
          <w:bCs w:val="0"/>
          <w:spacing w:val="0"/>
          <w:sz w:val="32"/>
          <w:szCs w:val="32"/>
          <w:lang w:val="en-US" w:eastAsia="zh-CN"/>
        </w:rPr>
        <w:t>）坚持优化人居环境，着力彰显山清水秀新面貌。</w:t>
      </w:r>
      <w:r>
        <w:rPr>
          <w:rFonts w:hint="default" w:ascii="Times New Roman" w:hAnsi="Times New Roman" w:eastAsia="仿宋" w:cs="Times New Roman"/>
          <w:spacing w:val="0"/>
          <w:sz w:val="32"/>
          <w:szCs w:val="32"/>
          <w:lang w:val="en-US" w:eastAsia="zh-CN"/>
        </w:rPr>
        <w:t>严格落实新一轮农村人居环境整治提升五年行动，牢固树立“绿水青山就是金山银山”的发展理念，把“蓝天、碧水、静音、净土”保卫战贯穿到乡村振兴的全过程。科学谋划美丽宜居村庄建设，以点带面全域推进美丽乡村建设。抓紧问题户厕整改，实现农村户厕动态管护和清零，确保问题户厕年底前全部分类整改到位。严格落实“路长制”，打造农村“四好公路”示范片区，争创农村公路养护一流街道。严格落实“河长制”和长江流域“十年禁渔令”，开展“保护最美靳江河”系列活动，实现含浦水清、岸绿、景美。严格落实“林长制”，切实做好“护绿、增绿、管绿、用绿”文章。落实新的农村建房管理办法，提升乡村建筑品质。</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00" w:lineRule="exact"/>
        <w:ind w:left="0" w:leftChars="0" w:firstLine="640" w:firstLineChars="200"/>
        <w:jc w:val="both"/>
        <w:textAlignment w:val="baseline"/>
        <w:rPr>
          <w:rFonts w:hint="default" w:ascii="Times New Roman" w:hAnsi="Times New Roman" w:eastAsia="仿宋" w:cs="Times New Roman"/>
          <w:spacing w:val="0"/>
          <w:sz w:val="32"/>
          <w:szCs w:val="32"/>
          <w:lang w:val="en-US" w:eastAsia="zh-CN"/>
        </w:rPr>
      </w:pPr>
      <w:r>
        <w:rPr>
          <w:rFonts w:hint="default" w:asciiTheme="majorEastAsia" w:hAnsiTheme="majorEastAsia" w:eastAsiaTheme="majorEastAsia" w:cstheme="majorEastAsia"/>
          <w:b w:val="0"/>
          <w:bCs w:val="0"/>
          <w:spacing w:val="0"/>
          <w:sz w:val="32"/>
          <w:szCs w:val="32"/>
          <w:lang w:val="en-US" w:eastAsia="zh-CN"/>
        </w:rPr>
        <w:t>（</w:t>
      </w:r>
      <w:r>
        <w:rPr>
          <w:rFonts w:hint="eastAsia" w:asciiTheme="majorEastAsia" w:hAnsiTheme="majorEastAsia" w:eastAsiaTheme="majorEastAsia" w:cstheme="majorEastAsia"/>
          <w:b w:val="0"/>
          <w:bCs w:val="0"/>
          <w:spacing w:val="0"/>
          <w:sz w:val="32"/>
          <w:szCs w:val="32"/>
          <w:lang w:val="en-US" w:eastAsia="zh-CN"/>
        </w:rPr>
        <w:t>3</w:t>
      </w:r>
      <w:r>
        <w:rPr>
          <w:rFonts w:hint="default" w:asciiTheme="majorEastAsia" w:hAnsiTheme="majorEastAsia" w:eastAsiaTheme="majorEastAsia" w:cstheme="majorEastAsia"/>
          <w:b w:val="0"/>
          <w:bCs w:val="0"/>
          <w:spacing w:val="0"/>
          <w:sz w:val="32"/>
          <w:szCs w:val="32"/>
          <w:lang w:val="en-US" w:eastAsia="zh-CN"/>
        </w:rPr>
        <w:t>）坚持创新社会治理，着力营造基层治理新生态。</w:t>
      </w:r>
      <w:r>
        <w:rPr>
          <w:rFonts w:hint="default" w:ascii="Times New Roman" w:hAnsi="Times New Roman" w:eastAsia="仿宋" w:cs="Times New Roman"/>
          <w:spacing w:val="0"/>
          <w:sz w:val="32"/>
          <w:szCs w:val="32"/>
          <w:lang w:val="en-US" w:eastAsia="zh-CN"/>
        </w:rPr>
        <w:t>统筹安全和发展两件大事，守牢安全稳定发展底线，常态化抓好疫情防控，认真组织好疫苗接种工作，持之以恒抓好安全生产、食品安全、消防安全、道路安全、信访维稳等方面工作，全面排查整治各类安全隐患，确保大局和谐稳定。全面实施“党建聚合力”工程，以“屋场暖心会”为载体，深入探索“屋场党建”模式，团结带领含浦群众深度参与屋场治理，共建共治美丽家乡，巩固和拓展“屋场暖心会”成果。加快构建“三治”融合乡村治理体系，充分激发基层党组织的战斗堡垒作用和党员先锋模范作用。做优做实网格化服务，确保“小事不出村、大事不出街”。深入推进“坐班制”转“值班制”，实现基层公共服务“一门式”全覆盖，不断优化基层公务服务。积极推荐“含浦好人”参评各类道德模范，赋予“好人文化”更多内涵和实质。</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leftChars="0" w:firstLine="640" w:firstLineChars="200"/>
        <w:jc w:val="both"/>
        <w:textAlignment w:val="baseline"/>
        <w:rPr>
          <w:rFonts w:hint="default" w:asciiTheme="majorEastAsia" w:hAnsiTheme="majorEastAsia" w:eastAsiaTheme="majorEastAsia" w:cstheme="majorEastAsia"/>
          <w:b w:val="0"/>
          <w:bCs w:val="0"/>
          <w:spacing w:val="0"/>
          <w:sz w:val="32"/>
          <w:szCs w:val="32"/>
          <w:lang w:eastAsia="zh-CN"/>
        </w:rPr>
      </w:pPr>
      <w:r>
        <w:rPr>
          <w:rFonts w:hint="eastAsia" w:asciiTheme="majorEastAsia" w:hAnsiTheme="majorEastAsia" w:eastAsiaTheme="majorEastAsia" w:cstheme="majorEastAsia"/>
          <w:b w:val="0"/>
          <w:bCs w:val="0"/>
          <w:spacing w:val="0"/>
          <w:sz w:val="32"/>
          <w:szCs w:val="32"/>
          <w:lang w:eastAsia="zh-CN"/>
        </w:rPr>
        <w:t>（</w:t>
      </w:r>
      <w:r>
        <w:rPr>
          <w:rFonts w:hint="eastAsia" w:asciiTheme="majorEastAsia" w:hAnsiTheme="majorEastAsia" w:eastAsiaTheme="majorEastAsia" w:cstheme="majorEastAsia"/>
          <w:b w:val="0"/>
          <w:bCs w:val="0"/>
          <w:spacing w:val="0"/>
          <w:sz w:val="32"/>
          <w:szCs w:val="32"/>
          <w:lang w:val="en-US" w:eastAsia="zh-CN"/>
        </w:rPr>
        <w:t>二</w:t>
      </w:r>
      <w:r>
        <w:rPr>
          <w:rFonts w:hint="eastAsia" w:asciiTheme="majorEastAsia" w:hAnsiTheme="majorEastAsia" w:eastAsiaTheme="majorEastAsia" w:cstheme="majorEastAsia"/>
          <w:b w:val="0"/>
          <w:bCs w:val="0"/>
          <w:spacing w:val="0"/>
          <w:sz w:val="32"/>
          <w:szCs w:val="32"/>
          <w:lang w:eastAsia="zh-CN"/>
        </w:rPr>
        <w:t>）</w:t>
      </w:r>
      <w:r>
        <w:rPr>
          <w:rFonts w:hint="default" w:asciiTheme="majorEastAsia" w:hAnsiTheme="majorEastAsia" w:eastAsiaTheme="majorEastAsia" w:cstheme="majorEastAsia"/>
          <w:b w:val="0"/>
          <w:bCs w:val="0"/>
          <w:spacing w:val="0"/>
          <w:sz w:val="32"/>
          <w:szCs w:val="32"/>
          <w:lang w:eastAsia="zh-CN"/>
        </w:rPr>
        <w:t>部门整体支出规模、使用方向和主要内容</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00" w:lineRule="exact"/>
        <w:ind w:left="0" w:leftChars="0" w:firstLine="640" w:firstLineChars="200"/>
        <w:jc w:val="both"/>
        <w:textAlignment w:val="baseline"/>
        <w:rPr>
          <w:rFonts w:hint="eastAsia" w:ascii="Times New Roman" w:hAnsi="Times New Roman" w:eastAsia="仿宋" w:cs="Times New Roman"/>
          <w:spacing w:val="0"/>
          <w:sz w:val="32"/>
          <w:szCs w:val="32"/>
          <w:lang w:val="en-US" w:eastAsia="zh-CN"/>
        </w:rPr>
      </w:pPr>
      <w:r>
        <w:rPr>
          <w:rFonts w:hint="eastAsia" w:ascii="Times New Roman" w:hAnsi="Times New Roman" w:eastAsia="仿宋" w:cs="Times New Roman"/>
          <w:spacing w:val="0"/>
          <w:sz w:val="32"/>
          <w:szCs w:val="32"/>
          <w:lang w:val="en-US" w:eastAsia="zh-CN"/>
        </w:rPr>
        <w:t>2022年本部门一般公共预算拨款支出预算2643.69万元，其中：一般公共服务支出1604.56万元，占60.69%，主要用于</w:t>
      </w:r>
      <w:r>
        <w:rPr>
          <w:rFonts w:hint="default" w:ascii="Times New Roman" w:hAnsi="Times New Roman" w:eastAsia="仿宋" w:cs="Times New Roman"/>
          <w:spacing w:val="0"/>
          <w:sz w:val="32"/>
          <w:szCs w:val="32"/>
          <w:lang w:val="en-US" w:eastAsia="zh-CN"/>
        </w:rPr>
        <w:t>本街道行政、管理事业人员工资、纪检事务、财政事务、群团事务</w:t>
      </w:r>
      <w:r>
        <w:rPr>
          <w:rFonts w:hint="eastAsia" w:ascii="Times New Roman" w:hAnsi="Times New Roman" w:eastAsia="仿宋" w:cs="Times New Roman"/>
          <w:spacing w:val="0"/>
          <w:sz w:val="32"/>
          <w:szCs w:val="32"/>
          <w:lang w:val="en-US" w:eastAsia="zh-CN"/>
        </w:rPr>
        <w:t>等；社会保障和就业支出192.83万元，占7.29%，</w:t>
      </w:r>
      <w:r>
        <w:rPr>
          <w:rFonts w:hint="default" w:ascii="Times New Roman" w:hAnsi="Times New Roman" w:eastAsia="仿宋" w:cs="Times New Roman"/>
          <w:spacing w:val="0"/>
          <w:sz w:val="32"/>
          <w:szCs w:val="32"/>
          <w:lang w:val="en-US" w:eastAsia="zh-CN"/>
        </w:rPr>
        <w:t>主要用于对村干部养老保险支出、行政事业离退休支出、死亡抚恤、义务兵优待、老年福利等</w:t>
      </w:r>
      <w:r>
        <w:rPr>
          <w:rFonts w:hint="eastAsia" w:ascii="Times New Roman" w:hAnsi="Times New Roman" w:eastAsia="仿宋" w:cs="Times New Roman"/>
          <w:spacing w:val="0"/>
          <w:sz w:val="32"/>
          <w:szCs w:val="32"/>
          <w:lang w:val="en-US" w:eastAsia="zh-CN"/>
        </w:rPr>
        <w:t>；卫生健康支出742.05万元，占28.07%，</w:t>
      </w:r>
      <w:r>
        <w:rPr>
          <w:rFonts w:hint="default" w:ascii="Times New Roman" w:hAnsi="Times New Roman" w:eastAsia="仿宋" w:cs="Times New Roman"/>
          <w:spacing w:val="0"/>
          <w:sz w:val="32"/>
          <w:szCs w:val="32"/>
          <w:lang w:val="en-US" w:eastAsia="zh-CN"/>
        </w:rPr>
        <w:t>主要用于</w:t>
      </w:r>
      <w:r>
        <w:rPr>
          <w:rFonts w:hint="eastAsia" w:ascii="Times New Roman" w:hAnsi="Times New Roman" w:eastAsia="仿宋" w:cs="Times New Roman"/>
          <w:spacing w:val="0"/>
          <w:sz w:val="32"/>
          <w:szCs w:val="32"/>
          <w:lang w:val="en-US" w:eastAsia="zh-CN"/>
        </w:rPr>
        <w:t>疫情防控、</w:t>
      </w:r>
      <w:r>
        <w:rPr>
          <w:rFonts w:hint="default" w:ascii="Times New Roman" w:hAnsi="Times New Roman" w:eastAsia="仿宋" w:cs="Times New Roman"/>
          <w:spacing w:val="0"/>
          <w:sz w:val="32"/>
          <w:szCs w:val="32"/>
          <w:lang w:val="en-US" w:eastAsia="zh-CN"/>
        </w:rPr>
        <w:t>计生部门人员基本工资、职工医保等</w:t>
      </w:r>
      <w:r>
        <w:rPr>
          <w:rFonts w:hint="eastAsia" w:ascii="Times New Roman" w:hAnsi="Times New Roman" w:eastAsia="仿宋" w:cs="Times New Roman"/>
          <w:spacing w:val="0"/>
          <w:sz w:val="32"/>
          <w:szCs w:val="32"/>
          <w:lang w:val="en-US" w:eastAsia="zh-CN"/>
        </w:rPr>
        <w:t>；住房保障支出104.24万元，占3.94%，</w:t>
      </w:r>
      <w:r>
        <w:rPr>
          <w:rFonts w:hint="default" w:ascii="Times New Roman" w:hAnsi="Times New Roman" w:eastAsia="仿宋" w:cs="Times New Roman"/>
          <w:spacing w:val="0"/>
          <w:sz w:val="32"/>
          <w:szCs w:val="32"/>
          <w:lang w:val="en-US" w:eastAsia="zh-CN"/>
        </w:rPr>
        <w:t>主要用于职工住房公积金支出</w:t>
      </w:r>
      <w:r>
        <w:rPr>
          <w:rFonts w:hint="eastAsia" w:ascii="Times New Roman" w:hAnsi="Times New Roman" w:eastAsia="仿宋" w:cs="Times New Roman"/>
          <w:spacing w:val="0"/>
          <w:sz w:val="32"/>
          <w:szCs w:val="32"/>
          <w:lang w:val="en-US" w:eastAsia="zh-CN"/>
        </w:rPr>
        <w:t>。</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leftChars="0" w:firstLine="620" w:firstLineChars="200"/>
        <w:jc w:val="both"/>
        <w:textAlignment w:val="baseline"/>
        <w:outlineLvl w:val="0"/>
        <w:rPr>
          <w:rFonts w:hint="eastAsia" w:ascii="黑体" w:hAnsi="黑体" w:eastAsia="黑体" w:cs="黑体"/>
          <w:b w:val="0"/>
          <w:bCs w:val="0"/>
          <w:spacing w:val="0"/>
          <w:sz w:val="31"/>
          <w:szCs w:val="31"/>
        </w:rPr>
      </w:pPr>
      <w:r>
        <w:rPr>
          <w:rFonts w:hint="eastAsia" w:ascii="黑体" w:hAnsi="黑体" w:eastAsia="黑体" w:cs="黑体"/>
          <w:b w:val="0"/>
          <w:bCs w:val="0"/>
          <w:spacing w:val="0"/>
          <w:sz w:val="31"/>
          <w:szCs w:val="31"/>
        </w:rPr>
        <w:t>二、部门整体支出管理及使用情况</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00" w:lineRule="exact"/>
        <w:ind w:left="0" w:leftChars="0" w:firstLine="640" w:firstLineChars="200"/>
        <w:jc w:val="both"/>
        <w:textAlignment w:val="baseline"/>
        <w:rPr>
          <w:rFonts w:hint="default" w:ascii="Times New Roman" w:hAnsi="Times New Roman" w:eastAsia="仿宋" w:cs="Times New Roman"/>
          <w:spacing w:val="0"/>
          <w:sz w:val="32"/>
          <w:szCs w:val="32"/>
          <w:lang w:val="en-US" w:eastAsia="zh-CN"/>
        </w:rPr>
      </w:pPr>
      <w:r>
        <w:rPr>
          <w:rFonts w:hint="eastAsia" w:ascii="Times New Roman" w:hAnsi="Times New Roman" w:eastAsia="仿宋" w:cs="Times New Roman"/>
          <w:spacing w:val="0"/>
          <w:sz w:val="32"/>
          <w:szCs w:val="32"/>
          <w:lang w:val="en-US" w:eastAsia="zh-CN"/>
        </w:rPr>
        <w:t>（一）</w:t>
      </w:r>
      <w:r>
        <w:rPr>
          <w:rFonts w:hint="default" w:ascii="Times New Roman" w:hAnsi="Times New Roman" w:eastAsia="仿宋" w:cs="Times New Roman"/>
          <w:spacing w:val="0"/>
          <w:sz w:val="32"/>
          <w:szCs w:val="32"/>
          <w:lang w:val="en-US" w:eastAsia="zh-CN"/>
        </w:rPr>
        <w:t>基本支出</w:t>
      </w:r>
      <w:r>
        <w:rPr>
          <w:rFonts w:hint="eastAsia" w:ascii="Times New Roman" w:hAnsi="Times New Roman" w:eastAsia="仿宋" w:cs="Times New Roman"/>
          <w:spacing w:val="0"/>
          <w:sz w:val="32"/>
          <w:szCs w:val="32"/>
          <w:lang w:val="en-US" w:eastAsia="zh-CN"/>
        </w:rPr>
        <w:t>：2022年本部门基本支出预算2643.69万元，主要是为保障部门正常运转、完成日常工作任务而发生的各项支出，其中办公经费157.57万元，占比5.96%；工资奖金津贴及福利1047.32万元，占比39.62%；临聘人员相关费用394.21万元，占比14.91%；社保及社会福利195.52万元，占比7.40%；住房公积金104.24万元，占比3.94%；人员预留经费165.02万元，占比6.24%；离退休费92.82万元，占比3.51%；两保站工资62.19万元，占比2.35%；维修费20万元，占比0.76%；国有资产收入及政府采购370.5万元，占比14.01%；其他商品和服务支出10万元，0.38%；村（社区）党建费用15万元，占比0.57%；委托业务费4万元，占比0.15%；三公经费5.5万元，占比0.20%。</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00" w:lineRule="exact"/>
        <w:ind w:left="0" w:leftChars="0" w:firstLine="640" w:firstLineChars="200"/>
        <w:jc w:val="both"/>
        <w:textAlignment w:val="baseline"/>
        <w:rPr>
          <w:rFonts w:hint="eastAsia" w:ascii="Times New Roman" w:hAnsi="Times New Roman" w:eastAsia="仿宋" w:cs="Times New Roman"/>
          <w:spacing w:val="0"/>
          <w:sz w:val="32"/>
          <w:szCs w:val="32"/>
          <w:lang w:val="en-US" w:eastAsia="zh-CN"/>
        </w:rPr>
      </w:pPr>
      <w:r>
        <w:rPr>
          <w:rFonts w:hint="eastAsia" w:ascii="Times New Roman" w:hAnsi="Times New Roman" w:eastAsia="仿宋" w:cs="Times New Roman"/>
          <w:spacing w:val="0"/>
          <w:sz w:val="32"/>
          <w:szCs w:val="32"/>
          <w:lang w:val="en-US" w:eastAsia="zh-CN"/>
        </w:rPr>
        <w:t>（二）“三公”经费预算：2022年本部门“三公”经费预算数为5.3万元，其中，公务接待费2万元，公务用车购置及运行费3.3万元（其中，公务用车购置费0万元，公务用车运行费3.3万元），因公出国（境）费0万元。2022年“三公”经费预算较2021年减少3.9万元，主要是公车维护费减少。</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leftChars="0" w:firstLine="620" w:firstLineChars="200"/>
        <w:jc w:val="both"/>
        <w:textAlignment w:val="baseline"/>
        <w:outlineLvl w:val="0"/>
        <w:rPr>
          <w:rFonts w:hint="eastAsia" w:ascii="黑体" w:hAnsi="黑体" w:eastAsia="黑体" w:cs="黑体"/>
          <w:b w:val="0"/>
          <w:bCs w:val="0"/>
          <w:spacing w:val="0"/>
          <w:sz w:val="31"/>
          <w:szCs w:val="31"/>
        </w:rPr>
      </w:pPr>
      <w:r>
        <w:rPr>
          <w:rFonts w:hint="eastAsia" w:ascii="黑体" w:hAnsi="黑体" w:eastAsia="黑体" w:cs="黑体"/>
          <w:b w:val="0"/>
          <w:bCs w:val="0"/>
          <w:spacing w:val="0"/>
          <w:sz w:val="31"/>
          <w:szCs w:val="31"/>
          <w:lang w:eastAsia="zh-CN"/>
        </w:rPr>
        <w:t>三</w:t>
      </w:r>
      <w:r>
        <w:rPr>
          <w:rFonts w:hint="eastAsia" w:ascii="黑体" w:hAnsi="黑体" w:eastAsia="黑体" w:cs="黑体"/>
          <w:b w:val="0"/>
          <w:bCs w:val="0"/>
          <w:spacing w:val="0"/>
          <w:sz w:val="31"/>
          <w:szCs w:val="31"/>
        </w:rPr>
        <w:t>、部门整体支出绩效情况</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00" w:lineRule="exact"/>
        <w:ind w:left="0" w:leftChars="0" w:firstLine="640" w:firstLineChars="200"/>
        <w:jc w:val="both"/>
        <w:textAlignment w:val="baseline"/>
        <w:rPr>
          <w:rFonts w:hint="eastAsia" w:ascii="Times New Roman" w:hAnsi="Times New Roman" w:eastAsia="仿宋" w:cs="Times New Roman"/>
          <w:spacing w:val="0"/>
          <w:sz w:val="32"/>
          <w:szCs w:val="32"/>
          <w:lang w:val="en-US" w:eastAsia="zh-CN"/>
        </w:rPr>
      </w:pPr>
      <w:r>
        <w:rPr>
          <w:rFonts w:hint="eastAsia" w:ascii="Times New Roman" w:hAnsi="Times New Roman" w:eastAsia="仿宋" w:cs="Times New Roman"/>
          <w:spacing w:val="0"/>
          <w:sz w:val="32"/>
          <w:szCs w:val="32"/>
          <w:lang w:val="en-US" w:eastAsia="zh-CN"/>
        </w:rPr>
        <w:t>一年来，我单位财政资金严格按照预算绩效管理要求和财经财务制度规定执行，制定了相关资金管理制度，严格资金支出，资金使用规范，项目工作开展措施有力，工作稳步推进。财政相关配套资金严格执行专款专用，用到实处，没有出现资金被挤占、挪用和严重便宜绩效目标的情况，确保了资金效果。2022年我单位积极履责，强化管理，较好的完成了年度工作目标。通过加强预算收支管理，不断建立健全内部控制制度，梳理内部管理流程，部门整体支出管理水平得到提升。根据部门整体支出绩效评价自评表，我街道2022年度自评得分为100分。部门整体支出绩效情况详见附件2。</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leftChars="0" w:firstLine="620" w:firstLineChars="200"/>
        <w:jc w:val="both"/>
        <w:textAlignment w:val="baseline"/>
        <w:outlineLvl w:val="0"/>
        <w:rPr>
          <w:rFonts w:hint="eastAsia" w:ascii="黑体" w:hAnsi="黑体" w:eastAsia="黑体" w:cs="黑体"/>
          <w:b w:val="0"/>
          <w:bCs w:val="0"/>
          <w:spacing w:val="0"/>
          <w:sz w:val="31"/>
          <w:szCs w:val="31"/>
        </w:rPr>
      </w:pPr>
      <w:r>
        <w:rPr>
          <w:rFonts w:hint="eastAsia" w:ascii="黑体" w:hAnsi="黑体" w:eastAsia="黑体" w:cs="黑体"/>
          <w:b w:val="0"/>
          <w:bCs w:val="0"/>
          <w:spacing w:val="0"/>
          <w:sz w:val="31"/>
          <w:szCs w:val="31"/>
          <w:lang w:val="en-US" w:eastAsia="zh-CN"/>
        </w:rPr>
        <w:t>四、</w:t>
      </w:r>
      <w:r>
        <w:rPr>
          <w:rFonts w:hint="eastAsia" w:ascii="黑体" w:hAnsi="黑体" w:eastAsia="黑体" w:cs="黑体"/>
          <w:b w:val="0"/>
          <w:bCs w:val="0"/>
          <w:spacing w:val="0"/>
          <w:sz w:val="31"/>
          <w:szCs w:val="31"/>
        </w:rPr>
        <w:t>存在的主要问题</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00" w:lineRule="exact"/>
        <w:ind w:left="0" w:leftChars="0" w:firstLine="640" w:firstLineChars="200"/>
        <w:jc w:val="both"/>
        <w:textAlignment w:val="baseline"/>
        <w:rPr>
          <w:rFonts w:hint="default" w:ascii="Times New Roman" w:hAnsi="Times New Roman" w:eastAsia="仿宋" w:cs="Times New Roman"/>
          <w:spacing w:val="0"/>
          <w:sz w:val="32"/>
          <w:szCs w:val="32"/>
          <w:lang w:val="en-US" w:eastAsia="zh-CN"/>
        </w:rPr>
      </w:pPr>
      <w:r>
        <w:rPr>
          <w:rFonts w:hint="eastAsia" w:ascii="Times New Roman" w:hAnsi="Times New Roman" w:eastAsia="仿宋" w:cs="Times New Roman"/>
          <w:spacing w:val="0"/>
          <w:sz w:val="32"/>
          <w:szCs w:val="32"/>
          <w:lang w:val="en-US" w:eastAsia="zh-CN"/>
        </w:rPr>
        <w:t>我街道日常运转经费存在人均公用经费偏低，慰问经费、美丽乡村帮扶经费等挤占了公用经费，使得全年公用经费会存在有缺口情况。预算编制不够明确和细化，预算编制的合理性需要提高，预算执行力度还仍要加强。单位各部门自身绩效理念比较薄弱，单位绩效目标编制仍有缺失，需要进一步加强对资金绩效管理的重视程度。预算资金使用计划需完善，要更科学合理的编制资金使用计划，细化收支项目，按照项目名称、时间、支付进度提高资金的使用效益。</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leftChars="0" w:firstLine="620" w:firstLineChars="200"/>
        <w:jc w:val="both"/>
        <w:textAlignment w:val="baseline"/>
        <w:outlineLvl w:val="0"/>
        <w:rPr>
          <w:rFonts w:hint="eastAsia" w:ascii="黑体" w:hAnsi="黑体" w:eastAsia="黑体" w:cs="黑体"/>
          <w:b w:val="0"/>
          <w:bCs w:val="0"/>
          <w:spacing w:val="0"/>
          <w:sz w:val="31"/>
          <w:szCs w:val="31"/>
          <w:lang w:val="en-US" w:eastAsia="zh-CN"/>
        </w:rPr>
      </w:pPr>
      <w:r>
        <w:rPr>
          <w:rFonts w:hint="eastAsia" w:ascii="黑体" w:hAnsi="黑体" w:eastAsia="黑体" w:cs="黑体"/>
          <w:b w:val="0"/>
          <w:bCs w:val="0"/>
          <w:spacing w:val="0"/>
          <w:sz w:val="31"/>
          <w:szCs w:val="31"/>
          <w:lang w:val="en-US" w:eastAsia="zh-CN"/>
        </w:rPr>
        <w:t>五、下一步改进措施</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00" w:lineRule="exact"/>
        <w:ind w:left="0" w:leftChars="0" w:firstLine="640" w:firstLineChars="200"/>
        <w:jc w:val="both"/>
        <w:textAlignment w:val="baseline"/>
        <w:rPr>
          <w:rFonts w:hint="default" w:ascii="Times New Roman" w:hAnsi="Times New Roman" w:eastAsia="仿宋" w:cs="Times New Roman"/>
          <w:spacing w:val="0"/>
          <w:sz w:val="32"/>
          <w:szCs w:val="32"/>
          <w:lang w:val="en-US" w:eastAsia="zh-CN"/>
        </w:rPr>
      </w:pPr>
      <w:r>
        <w:rPr>
          <w:rFonts w:hint="eastAsia" w:ascii="Times New Roman" w:hAnsi="Times New Roman" w:eastAsia="仿宋" w:cs="Times New Roman"/>
          <w:spacing w:val="0"/>
          <w:sz w:val="32"/>
          <w:szCs w:val="32"/>
          <w:lang w:val="en-US" w:eastAsia="zh-CN"/>
        </w:rPr>
        <w:t>细化预算编制工作，认真做好预算的编制。进一步加强单位各部门的预算管理意识，严格按照预算编制的相关制度和要求进行预算编制；全面编制预算项目，优先保障固定性的、相对刚性的费用支出项目，尽量压缩变动性的、有控制空间的费用项目，进一步提高预算编制的科学性、严谨性和可控性，加强内部预算编制的审核和预算控制指标的下达。</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leftChars="0" w:firstLine="620" w:firstLineChars="200"/>
        <w:jc w:val="both"/>
        <w:textAlignment w:val="baseline"/>
        <w:outlineLvl w:val="0"/>
        <w:rPr>
          <w:rFonts w:hint="eastAsia" w:ascii="黑体" w:hAnsi="黑体" w:eastAsia="黑体" w:cs="黑体"/>
          <w:b w:val="0"/>
          <w:bCs w:val="0"/>
          <w:spacing w:val="0"/>
          <w:sz w:val="31"/>
          <w:szCs w:val="31"/>
          <w:lang w:val="en-US" w:eastAsia="zh-CN"/>
        </w:rPr>
      </w:pPr>
      <w:r>
        <w:rPr>
          <w:rFonts w:hint="eastAsia" w:ascii="黑体" w:hAnsi="黑体" w:eastAsia="黑体" w:cs="黑体"/>
          <w:b w:val="0"/>
          <w:bCs w:val="0"/>
          <w:spacing w:val="0"/>
          <w:sz w:val="31"/>
          <w:szCs w:val="31"/>
          <w:lang w:val="en-US" w:eastAsia="zh-CN"/>
        </w:rPr>
        <w:t>六、其他需要说明</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00" w:lineRule="exact"/>
        <w:ind w:left="0" w:leftChars="0" w:firstLine="640" w:firstLineChars="200"/>
        <w:jc w:val="both"/>
        <w:textAlignment w:val="baseline"/>
        <w:rPr>
          <w:rFonts w:hint="eastAsia" w:ascii="Times New Roman" w:hAnsi="Times New Roman" w:eastAsia="仿宋" w:cs="Times New Roman"/>
          <w:spacing w:val="0"/>
          <w:sz w:val="32"/>
          <w:szCs w:val="32"/>
          <w:lang w:val="en-US" w:eastAsia="zh-CN"/>
        </w:rPr>
      </w:pPr>
      <w:r>
        <w:rPr>
          <w:rFonts w:hint="eastAsia" w:asciiTheme="majorEastAsia" w:hAnsiTheme="majorEastAsia" w:eastAsiaTheme="majorEastAsia" w:cstheme="majorEastAsia"/>
          <w:b w:val="0"/>
          <w:bCs w:val="0"/>
          <w:spacing w:val="0"/>
          <w:sz w:val="32"/>
          <w:szCs w:val="32"/>
          <w:lang w:val="en-US" w:eastAsia="zh-CN"/>
        </w:rPr>
        <w:t>机关运行经费：</w:t>
      </w:r>
      <w:r>
        <w:rPr>
          <w:rFonts w:hint="eastAsia" w:ascii="Times New Roman" w:hAnsi="Times New Roman" w:eastAsia="仿宋" w:cs="Times New Roman"/>
          <w:spacing w:val="0"/>
          <w:sz w:val="32"/>
          <w:szCs w:val="32"/>
          <w:lang w:val="en-US" w:eastAsia="zh-CN"/>
        </w:rPr>
        <w:t>2022年本部门的机关运行经费200.33万元，比上年预算减少11.87万元，下降5.59%，主要原因是开源节流，减少一些不是刚需的支出。</w:t>
      </w:r>
    </w:p>
    <w:sectPr>
      <w:footerReference r:id="rId5" w:type="default"/>
      <w:pgSz w:w="11906" w:h="16838"/>
      <w:pgMar w:top="1701" w:right="1701" w:bottom="1701" w:left="1701" w:header="851" w:footer="992" w:gutter="0"/>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80F3C52"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Microsoft YaHei">
    <w:panose1 w:val="020B0503020204020204"/>
    <w:charset w:val="86"/>
    <w:family w:val="auto"/>
    <w:pitch w:val="default"/>
    <w:sig w:usb0="80000287" w:usb1="280F3C52" w:usb2="00000016" w:usb3="00000000" w:csb0="0004001F" w:csb1="00000000"/>
  </w:font>
  <w:font w:name="Tahoma">
    <w:altName w:val="DejaVu Sans"/>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4ZWRkNDBlY2Q4ZjhiMjRlNWFjZjFiNWViZDYzOWYifQ=="/>
  </w:docVars>
  <w:rsids>
    <w:rsidRoot w:val="00000000"/>
    <w:rsid w:val="017B7436"/>
    <w:rsid w:val="08B274A9"/>
    <w:rsid w:val="0A924382"/>
    <w:rsid w:val="0BA31A63"/>
    <w:rsid w:val="0D0E7CD0"/>
    <w:rsid w:val="0EF425D6"/>
    <w:rsid w:val="0F7A2ADB"/>
    <w:rsid w:val="0FA55529"/>
    <w:rsid w:val="11F272A1"/>
    <w:rsid w:val="13A61A40"/>
    <w:rsid w:val="199826A2"/>
    <w:rsid w:val="1AD5775F"/>
    <w:rsid w:val="1D9A259A"/>
    <w:rsid w:val="1EBA1146"/>
    <w:rsid w:val="1FE8583F"/>
    <w:rsid w:val="235D02F2"/>
    <w:rsid w:val="2492046F"/>
    <w:rsid w:val="2500392D"/>
    <w:rsid w:val="267802C4"/>
    <w:rsid w:val="272C0707"/>
    <w:rsid w:val="298D02AE"/>
    <w:rsid w:val="2C332A84"/>
    <w:rsid w:val="2CB01DDA"/>
    <w:rsid w:val="2F542EF1"/>
    <w:rsid w:val="324A2389"/>
    <w:rsid w:val="34CE1342"/>
    <w:rsid w:val="37F23ADB"/>
    <w:rsid w:val="38196A86"/>
    <w:rsid w:val="381A3625"/>
    <w:rsid w:val="386C3059"/>
    <w:rsid w:val="38E075A3"/>
    <w:rsid w:val="3B393EC4"/>
    <w:rsid w:val="41F5078F"/>
    <w:rsid w:val="454C4C9E"/>
    <w:rsid w:val="465D2233"/>
    <w:rsid w:val="470152B5"/>
    <w:rsid w:val="49226E97"/>
    <w:rsid w:val="4AA44A08"/>
    <w:rsid w:val="4C617A6E"/>
    <w:rsid w:val="4C73622A"/>
    <w:rsid w:val="4E612ADD"/>
    <w:rsid w:val="50973177"/>
    <w:rsid w:val="51CA16DC"/>
    <w:rsid w:val="54942738"/>
    <w:rsid w:val="570566FB"/>
    <w:rsid w:val="5A9515D5"/>
    <w:rsid w:val="5A98037A"/>
    <w:rsid w:val="5BE93429"/>
    <w:rsid w:val="5EA762EA"/>
    <w:rsid w:val="647E7AED"/>
    <w:rsid w:val="6564119C"/>
    <w:rsid w:val="65AC5C01"/>
    <w:rsid w:val="695025CA"/>
    <w:rsid w:val="6A687275"/>
    <w:rsid w:val="6BDF70C3"/>
    <w:rsid w:val="6E445903"/>
    <w:rsid w:val="6F392F8E"/>
    <w:rsid w:val="6FCC17E0"/>
    <w:rsid w:val="73AB0341"/>
    <w:rsid w:val="746A3BEA"/>
    <w:rsid w:val="751A5610"/>
    <w:rsid w:val="758E1CDD"/>
    <w:rsid w:val="76A553AD"/>
    <w:rsid w:val="794B3FEA"/>
    <w:rsid w:val="7B3E5231"/>
    <w:rsid w:val="7BEB1AB4"/>
    <w:rsid w:val="9F99EF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4042</Words>
  <Characters>4271</Characters>
  <Lines>0</Lines>
  <Paragraphs>0</Paragraphs>
  <TotalTime>4</TotalTime>
  <ScaleCrop>false</ScaleCrop>
  <LinksUpToDate>false</LinksUpToDate>
  <CharactersWithSpaces>4271</CharactersWithSpaces>
  <Application>WPS Office_11.8.2.11764_F1E327BC-269C-435d-A152-05C5408002CA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2023-03-06T15:09:00Z</dcterms:created>
  <dc:creator>ly</dc:creator>
  <cp:lastModifiedBy>姜梦洁</cp:lastModifiedBy>
  <dcterms:modified xsi:type="dcterms:W3CDTF">2023-10-30T09:53:00Z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2052-11.8.2.11764</vt:lpwstr>
  </property>
  <property fmtid="{D5CDD505-2E9C-101B-9397-08002B2CF9AE}" pid="3" name="ICV">
    <vt:lpwstr>03796F61ADF64A358BC8F4B419283535</vt:lpwstr>
  </property>
</Properties>
</file>