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sz w:val="36"/>
          <w:szCs w:val="32"/>
          <w:lang w:val="en-US" w:eastAsia="zh-CN"/>
        </w:rPr>
      </w:pPr>
      <w:r>
        <w:rPr>
          <w:rFonts w:hint="eastAsia"/>
          <w:sz w:val="36"/>
          <w:szCs w:val="32"/>
          <w:lang w:val="en-US" w:eastAsia="zh-CN"/>
        </w:rPr>
        <w:t>2021年度含浦街道项目绩效评</w:t>
      </w:r>
      <w:bookmarkStart w:id="0" w:name="_GoBack"/>
      <w:bookmarkEnd w:id="0"/>
      <w:r>
        <w:rPr>
          <w:rFonts w:hint="eastAsia"/>
          <w:sz w:val="36"/>
          <w:szCs w:val="32"/>
          <w:lang w:val="en-US" w:eastAsia="zh-CN"/>
        </w:rPr>
        <w:t>价报告</w:t>
      </w:r>
    </w:p>
    <w:p>
      <w:pPr>
        <w:pStyle w:val="5"/>
        <w:spacing w:line="600" w:lineRule="exact"/>
        <w:ind w:firstLine="640" w:firstLineChars="200"/>
        <w:jc w:val="both"/>
        <w:rPr>
          <w:rFonts w:ascii="仿宋" w:hAnsi="仿宋" w:eastAsia="仿宋" w:cs="仿宋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根据预算绩效管理要求，我部门组织对2021年度一般公共预算项目支出全面开展绩效自评，共涉及资金1</w:t>
      </w:r>
      <w:r>
        <w:rPr>
          <w:rFonts w:ascii="仿宋" w:hAnsi="仿宋" w:eastAsia="仿宋" w:cs="仿宋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171.28万元，占一般公共预算项目支出总额的38.59%。组织对2021年度0个政府性基金预算项目支出开展绩效自评，共涉及资金0万元，占政府性基金预算项目支出总额的0%。组织对2021年度0个国有资本经营预算项目支出开展绩效自评，共涉及资金0万元，占国有资本经营预算项目支出总额的0%。</w:t>
      </w:r>
    </w:p>
    <w:p>
      <w:pPr>
        <w:pStyle w:val="5"/>
        <w:spacing w:line="600" w:lineRule="exact"/>
        <w:ind w:firstLine="640" w:firstLineChars="200"/>
        <w:jc w:val="both"/>
        <w:rPr>
          <w:rFonts w:ascii="仿宋" w:hAnsi="仿宋" w:eastAsia="仿宋" w:cs="仿宋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组织对民政、防疫、综治、农业、宣传、公路、改厕、拆违控违、税收等8个项目开展了部门评价，涉及一般公共预算支出1</w:t>
      </w:r>
      <w:r>
        <w:rPr>
          <w:rFonts w:ascii="仿宋" w:hAnsi="仿宋" w:eastAsia="仿宋" w:cs="仿宋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171.28万元，政府性基金预算支出0万元，国有资本经营预算支出0万元。从评价情况来看，民政：2021年通过发放民政救助资金，在一定程度上缓解了群众安老、扶孤、助学、助医、济困、救灾等难题。防疫：认真落实上级新冠疫情防控工作要求，切实做好新冠疫情防控工作，加大防疫排查力度，及时有效采取各项防控措施，提高疫情防控能力，确保全市不发生新冠疫情和疫情扩散，坚决打赢疫情防控阻击战。综治：深入推进扫黑除恶专项斗争，利用宣传标语、横幅、流动宣传车、微信公众号等进行广泛宣传。宣传：通过油菜花节来有力宣传含浦乡村建设。吸引了过万余游客前来赏花踏青。农业：完成1</w:t>
      </w:r>
      <w:r>
        <w:rPr>
          <w:rFonts w:ascii="仿宋" w:hAnsi="仿宋" w:eastAsia="仿宋" w:cs="仿宋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368.76亩种植结构调整，新增稻虾、稻渔综合种养216余亩。新增一家农业合作社，新引进一家农业企业，新增土地流转920余亩。绿色蔬菜种植600余亩。积极推进家庭农场发展，其中龙霖家庭农场评定为省级示范家庭农场。公路及改厕：民生公路改造及无厕化改造，继续完成提质改造农村公路、完成无害化厕所改造任务。拆违控违：拆违控违，严格农村个人建房管理建立街、村（社区）两级巡查制度，坚持“发现一处拆除一处”严格管控拆除1处面积30平米新增违法建设，督促自拆1处有严重安全隐患的棚屋面积约2</w:t>
      </w:r>
      <w:r>
        <w:rPr>
          <w:rFonts w:ascii="仿宋" w:hAnsi="仿宋" w:eastAsia="仿宋" w:cs="仿宋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000平米，制止、拆停3处违法建设。通过核查处置，为有效制止新增违法建设行为起到了很大的管控作用。税收：完成税收任务及工业、服务业、社会零售业产值。2021年预期目标地方级3</w:t>
      </w:r>
      <w:r>
        <w:rPr>
          <w:rFonts w:ascii="仿宋" w:hAnsi="仿宋" w:eastAsia="仿宋" w:cs="仿宋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200万、原区级1</w:t>
      </w:r>
      <w:r>
        <w:rPr>
          <w:rFonts w:ascii="仿宋" w:hAnsi="仿宋" w:eastAsia="仿宋" w:cs="仿宋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300万。完成区级税收1</w:t>
      </w:r>
      <w:r>
        <w:rPr>
          <w:rFonts w:ascii="仿宋" w:hAnsi="仿宋" w:eastAsia="仿宋" w:cs="仿宋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539万元，完成地方级税收4</w:t>
      </w:r>
      <w:r>
        <w:rPr>
          <w:rFonts w:ascii="仿宋" w:hAnsi="仿宋" w:eastAsia="仿宋" w:cs="仿宋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062万元。2021年服务业营业收入5.32亿元，工业总产值9.12亿元。</w:t>
      </w:r>
    </w:p>
    <w:p>
      <w:pPr>
        <w:pStyle w:val="5"/>
        <w:spacing w:line="600" w:lineRule="exact"/>
        <w:ind w:firstLine="640" w:firstLineChars="200"/>
        <w:jc w:val="both"/>
        <w:rPr>
          <w:rFonts w:ascii="仿宋" w:hAnsi="仿宋" w:eastAsia="仿宋" w:cs="仿宋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组织对本单位开展整体支出绩效评价，涉及一般公共预算支出3</w:t>
      </w:r>
      <w:r>
        <w:rPr>
          <w:rFonts w:ascii="仿宋" w:hAnsi="仿宋" w:eastAsia="仿宋" w:cs="仿宋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035.47万元，政府性基金预算支出0万元。从评价情况来看，我单位资金运行维护决策正确，资金管理规范，项目管理到位，政策执行有力，有效发挥了财政资金的使用率，确保了各项工作的顺利实施。</w:t>
      </w:r>
    </w:p>
    <w:p>
      <w:pPr>
        <w:pStyle w:val="5"/>
        <w:spacing w:line="600" w:lineRule="exact"/>
        <w:ind w:firstLine="643" w:firstLineChars="200"/>
        <w:jc w:val="both"/>
        <w:rPr>
          <w:rFonts w:ascii="仿宋" w:hAnsi="仿宋" w:eastAsia="仿宋" w:cs="仿宋"/>
          <w:b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（2）部门决算中项目绩效自评结果。</w:t>
      </w:r>
    </w:p>
    <w:p>
      <w:pPr>
        <w:pStyle w:val="5"/>
        <w:spacing w:line="600" w:lineRule="exact"/>
        <w:ind w:firstLine="640" w:firstLineChars="200"/>
        <w:jc w:val="both"/>
        <w:rPr>
          <w:rFonts w:ascii="仿宋" w:hAnsi="仿宋" w:eastAsia="仿宋" w:cs="仿宋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民政、防疫、综治、农业、宣传、公路及公厕改造、拆违控违、税收项目绩效自评综述：根据年初设定的绩效目标，项目绩效自评得分为98分。项目全年预算数为104.48万元，执行数为1</w:t>
      </w:r>
      <w:r>
        <w:rPr>
          <w:rFonts w:ascii="仿宋" w:hAnsi="仿宋" w:eastAsia="仿宋" w:cs="仿宋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171.28万元，完成预算的1</w:t>
      </w:r>
      <w:r>
        <w:rPr>
          <w:rFonts w:ascii="仿宋" w:hAnsi="仿宋" w:eastAsia="仿宋" w:cs="仿宋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121.05%。项目绩效目标完成情况：各项项目完成了预期目标。达到了项目实施的任务目标及预期成效。发现的主要问题及原因：一是人工、材料等成本逐年上升，上级补助资金较少；二是项目预算编制不够精确，预算支出率未达到百分百。下一步改进措施：一是继续严格按预算执行，希望能够得到更多的专项资金支持，争取全面完成绩效目标；二是进行事前绩效评估，进一步提高预算编制的准确性。防疫。综治等8个项目绩效自评综述：总体运行情况及取得的成绩从整体上看，我街道专项资金管理规范，项目管理到位，政策执行有力，有效地发挥了财政资金的使用效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mNzFmY2Y0ZmE2MzU4NWNiOTY4OWNkNDdiYmJmNjMifQ=="/>
  </w:docVars>
  <w:rsids>
    <w:rsidRoot w:val="00000000"/>
    <w:rsid w:val="58AA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2023-09-12T03:26:57Z</dcterms:created>
  <dc:creator>Administrator</dc:creator>
  <cp:lastModifiedBy>Administrator</cp:lastModifiedBy>
  <dcterms:modified xsi:type="dcterms:W3CDTF">2023-09-12T03:28:10Z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66C3C82039A340AC900C6ED7E0C6C787</vt:lpwstr>
  </property>
</Properties>
</file>