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E" w:rsidRDefault="00B2667E" w:rsidP="00B2667E">
      <w:pPr>
        <w:rPr>
          <w:rFonts w:ascii="宋体" w:hAnsi="宋体"/>
        </w:rPr>
      </w:pP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宋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</w:p>
    <w:p w:rsidR="00B2667E" w:rsidRDefault="00B2667E" w:rsidP="00B2667E">
      <w:pPr>
        <w:overflowPunct w:val="0"/>
        <w:spacing w:afterLines="50" w:after="156" w:line="720" w:lineRule="exact"/>
        <w:jc w:val="center"/>
        <w:outlineLvl w:val="0"/>
        <w:rPr>
          <w:rFonts w:ascii="宋体" w:eastAsia="方正小标宋_GBK" w:hAnsi="宋体" w:cs="方正小标宋_GBK"/>
          <w:kern w:val="0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/>
          <w:kern w:val="0"/>
          <w:sz w:val="44"/>
          <w:szCs w:val="44"/>
        </w:rPr>
        <w:t>2023</w:t>
      </w:r>
      <w:r>
        <w:rPr>
          <w:rFonts w:ascii="宋体" w:eastAsia="方正小标宋_GBK" w:hAnsi="宋体" w:cs="方正小标宋_GBK"/>
          <w:kern w:val="0"/>
          <w:sz w:val="44"/>
          <w:szCs w:val="44"/>
        </w:rPr>
        <w:t>年政府性基金支出调整表</w:t>
      </w:r>
    </w:p>
    <w:bookmarkEnd w:id="0"/>
    <w:p w:rsidR="00B2667E" w:rsidRDefault="00B2667E" w:rsidP="00B2667E">
      <w:pPr>
        <w:pStyle w:val="a6"/>
        <w:jc w:val="right"/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/>
          <w:color w:val="000000"/>
          <w:kern w:val="0"/>
          <w:sz w:val="32"/>
          <w:szCs w:val="32"/>
          <w:shd w:val="clear" w:color="auto" w:fill="FFFFFF"/>
          <w:lang w:bidi="ar"/>
        </w:rPr>
        <w:t>单位：万元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2448"/>
        <w:gridCol w:w="2286"/>
        <w:gridCol w:w="2077"/>
      </w:tblGrid>
      <w:tr w:rsidR="00B2667E" w:rsidTr="001020A4">
        <w:trPr>
          <w:trHeight w:hRule="exact" w:val="567"/>
          <w:tblHeader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预算数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拟调整数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黑体" w:hAnsi="宋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调整后预算数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一、城乡社区支出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2,557,401.00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-120,000.00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2,437,401.00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国有土地使用权出让收入安排的支出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2,437,119.00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-120,000.00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2,317,119.00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农业土地开发资金安排的支出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35,282.00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35,282.00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城市基础设施配套费安排的支出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85,000.00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85,000.00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二、其他政府性基金支出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170,000.00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170,000.00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其他地方自行试点项目收益专项债券收入安排的支出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170,000.00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170,000.00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三、债务付息支出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84,190.00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spacing w:line="280" w:lineRule="exact"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84,190.00 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地方政府专项债务付息支出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84,190.00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84,190.00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政府性基金预算支出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2,641,591.00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jc w:val="righ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50,000.00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2,691,591.00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lef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上解上级支出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165,000.00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165,000.00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补助下级支出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土地储备专项债券还本支出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135,000.00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135,000.00</w:t>
            </w: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调出资金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left"/>
              <w:textAlignment w:val="center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8"/>
                <w:szCs w:val="28"/>
                <w:lang w:bidi="ar"/>
              </w:rPr>
              <w:t>结转下年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jc w:val="left"/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rPr>
                <w:rFonts w:ascii="宋体" w:eastAsia="方正仿宋_GBK" w:hAnsi="宋体" w:cs="方正仿宋_GBK" w:hint="eastAsia"/>
                <w:color w:val="000000"/>
                <w:sz w:val="28"/>
                <w:szCs w:val="28"/>
              </w:rPr>
            </w:pPr>
          </w:p>
        </w:tc>
      </w:tr>
      <w:tr w:rsidR="00B2667E" w:rsidTr="001020A4">
        <w:trPr>
          <w:trHeight w:hRule="exact" w:val="567"/>
          <w:jc w:val="center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支出总计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2,941,591.00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667E" w:rsidRDefault="00B2667E" w:rsidP="001020A4">
            <w:pPr>
              <w:widowControl/>
              <w:jc w:val="right"/>
              <w:textAlignment w:val="center"/>
              <w:rPr>
                <w:rFonts w:ascii="宋体" w:eastAsia="方正仿宋_GBK" w:hAnsi="宋体" w:cs="方正仿宋_GBK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50,000.00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2667E" w:rsidRDefault="00B2667E" w:rsidP="001020A4">
            <w:pPr>
              <w:widowControl/>
              <w:jc w:val="right"/>
              <w:textAlignment w:val="bottom"/>
              <w:rPr>
                <w:rFonts w:ascii="宋体" w:eastAsia="方正仿宋_GBK" w:hAnsi="宋体" w:cs="方正仿宋_GBK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2,991,591.00</w:t>
            </w:r>
          </w:p>
        </w:tc>
      </w:tr>
    </w:tbl>
    <w:p w:rsidR="00A32ECA" w:rsidRDefault="00D54C7B" w:rsidP="00D54C7B">
      <w:pPr>
        <w:pStyle w:val="a6"/>
      </w:pPr>
      <w:r>
        <w:t xml:space="preserve"> </w:t>
      </w:r>
    </w:p>
    <w:sectPr w:rsidR="00A32ECA" w:rsidSect="00B26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09" w:rsidRDefault="00FC7409" w:rsidP="00B2667E">
      <w:r>
        <w:separator/>
      </w:r>
    </w:p>
  </w:endnote>
  <w:endnote w:type="continuationSeparator" w:id="0">
    <w:p w:rsidR="00FC7409" w:rsidRDefault="00FC7409" w:rsidP="00B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09" w:rsidRDefault="00FC7409" w:rsidP="00B2667E">
      <w:r>
        <w:separator/>
      </w:r>
    </w:p>
  </w:footnote>
  <w:footnote w:type="continuationSeparator" w:id="0">
    <w:p w:rsidR="00FC7409" w:rsidRDefault="00FC7409" w:rsidP="00B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4"/>
    <w:rsid w:val="00363B3A"/>
    <w:rsid w:val="00947BEC"/>
    <w:rsid w:val="00A32ECA"/>
    <w:rsid w:val="00B2667E"/>
    <w:rsid w:val="00D54C7B"/>
    <w:rsid w:val="00D97044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96E78-F8AB-4341-8F26-926FEBA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6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2667E"/>
    <w:rPr>
      <w:sz w:val="18"/>
      <w:szCs w:val="18"/>
    </w:rPr>
  </w:style>
  <w:style w:type="paragraph" w:styleId="a6">
    <w:name w:val="footnote text"/>
    <w:basedOn w:val="a"/>
    <w:next w:val="a"/>
    <w:link w:val="Char1"/>
    <w:qFormat/>
    <w:rsid w:val="00B2667E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1"/>
    <w:link w:val="a6"/>
    <w:rsid w:val="00B2667E"/>
    <w:rPr>
      <w:rFonts w:ascii="Calibri" w:eastAsia="宋体" w:hAnsi="Calibri" w:cs="Times New Roman"/>
      <w:sz w:val="18"/>
      <w:szCs w:val="24"/>
    </w:rPr>
  </w:style>
  <w:style w:type="character" w:customStyle="1" w:styleId="font11">
    <w:name w:val="font11"/>
    <w:basedOn w:val="a1"/>
    <w:rsid w:val="00B2667E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B2667E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26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2024-01-03T03:57:00Z</dcterms:created>
  <dcterms:modified xsi:type="dcterms:W3CDTF">2024-01-03T03:57:00Z</dcterms:modified>
</cp:coreProperties>
</file>