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岳麓区1-4月财税工作简报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岳麓区财政局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2020年4月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1、市定税收收入计划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4月完成地方税收77819万元，累计完成260058万元，进度为35.07%，当月增幅17.6%，累计增幅1.91%。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2、地方一般公共预算收入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4月完成48400万元，累计完成205872万元，同比增长11.83%。其中税收收入当月完成45933万元，累计完成157998万元，当月增幅20.86%，累计增幅3.4%。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、主要特点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1、从税种结构看，三大主体税种（增值税、企业所得税、土地增值税）累计入库区级税收13.82元，占比达到87.47%，增收0.27亿元，对区级税收增长的贡献率达到52.47%。其中：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企业所得税4.26亿元，比上年同期增加0.66亿元，增长18.41%，重点企业和房地产项目年度汇算清缴是主要增收因素。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土地增值税2.59亿元，比上年同期增加0.22万元，增长9.38%，主要是土地增值税清算。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增值税6.98亿元，占区级税收总量的比重44.16%，但受房地产市场成交下行和减税降费政策以及疫情的影响，下降8.05%。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个人所得税增长2.43%，和房产税、印花税、耕地占用税等占比合计仅12.4%。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2、3-4月税收收入组织成效明显，当月地方税收同比增长分别为52.5%、17.68%，环比增长79.49%、47.3%，入库税收规模居城区前列，降幅不断收窄并在4月实现正增长。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3、收入进度均衡，市考核口径地方税收超考核进度要求5.07个百分点，（新）地方一般公共预算收入增长11.86%，预算口径一般预算收入增长15.74%，超时序进度4.85个百分点，区级税收超进度0.84个百分点。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4、财税结构优化，收入质量（税收占比）居城区首位，金融业、商贸业、科研技术服务和软件信息业等保持较快增长和有效支撑态势。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003D"/>
    <w:rsid w:val="55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2020-06-05T02:41:00Z</dcterms:created>
  <dc:creator>淡淡啲菋噵</dc:creator>
  <cp:lastModifiedBy>淡淡啲菋噵</cp:lastModifiedBy>
  <dcterms:modified xsi:type="dcterms:W3CDTF">2020-06-05T02:42:51Z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